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F68A7" w14:textId="77777777" w:rsidR="00077E9B" w:rsidRDefault="00077E9B" w:rsidP="00077E9B">
      <w:pPr>
        <w:spacing w:before="0" w:after="0"/>
        <w:jc w:val="left"/>
        <w:rPr>
          <w:rFonts w:ascii="Arial" w:hAnsi="Arial"/>
          <w:b/>
          <w:kern w:val="0"/>
          <w:sz w:val="32"/>
          <w:szCs w:val="26"/>
          <w:lang w:eastAsia="es-ES"/>
        </w:rPr>
      </w:pPr>
    </w:p>
    <w:p w14:paraId="5777B387" w14:textId="109D6D86" w:rsidR="00077E9B" w:rsidRPr="00077E9B" w:rsidRDefault="00077E9B" w:rsidP="00077E9B">
      <w:pPr>
        <w:spacing w:before="0" w:after="0"/>
        <w:jc w:val="left"/>
        <w:rPr>
          <w:rFonts w:ascii="Arial" w:hAnsi="Arial"/>
          <w:b/>
          <w:kern w:val="0"/>
          <w:sz w:val="32"/>
          <w:szCs w:val="26"/>
          <w:lang w:eastAsia="es-ES"/>
        </w:rPr>
      </w:pPr>
      <w:r w:rsidRPr="00077E9B">
        <w:rPr>
          <w:rFonts w:ascii="Arial" w:hAnsi="Arial"/>
          <w:b/>
          <w:kern w:val="0"/>
          <w:sz w:val="32"/>
          <w:szCs w:val="26"/>
          <w:lang w:eastAsia="es-ES"/>
        </w:rPr>
        <w:t xml:space="preserve">MINSAIT Y LA INDUSTRIA NACIONAL DE AUTOPARTES SE UNEN PARA FORTALECER LA CIBERSEGURIDAD EN LA INDUSTRIA AUTOMOTRIZ MEXICANA </w:t>
      </w:r>
    </w:p>
    <w:p w14:paraId="5E44B357" w14:textId="77777777" w:rsidR="009C2E38" w:rsidRPr="002C656E" w:rsidRDefault="009C2E38" w:rsidP="005225D9">
      <w:pPr>
        <w:ind w:right="282"/>
      </w:pPr>
    </w:p>
    <w:p w14:paraId="68E7D8FD" w14:textId="5E5EABB8" w:rsidR="00416567" w:rsidRDefault="00077E9B" w:rsidP="00D467D1">
      <w:pPr>
        <w:pStyle w:val="Subtitle"/>
      </w:pPr>
      <w:bookmarkStart w:id="0" w:name="_Hlk181687409"/>
      <w:r w:rsidRPr="002C656E">
        <w:t>La alianza busca elevar el nivel de concientización en ciberseguridad en el sector de autopartes mexicano</w:t>
      </w:r>
    </w:p>
    <w:p w14:paraId="0EB5D91B" w14:textId="77777777" w:rsidR="00E70898" w:rsidRPr="00E70898" w:rsidRDefault="00E70898" w:rsidP="00E70898">
      <w:pPr>
        <w:rPr>
          <w:lang w:eastAsia="es-ES"/>
        </w:rPr>
      </w:pPr>
    </w:p>
    <w:p w14:paraId="2923F2A3" w14:textId="39B05C85" w:rsidR="00077E9B" w:rsidRPr="002C656E" w:rsidRDefault="00077E9B" w:rsidP="00077E9B">
      <w:pPr>
        <w:pStyle w:val="Subtitle"/>
        <w:rPr>
          <w:lang w:val="es-MX"/>
        </w:rPr>
      </w:pPr>
      <w:r w:rsidRPr="002C656E">
        <w:rPr>
          <w:lang w:val="es-MX"/>
        </w:rPr>
        <w:t>La colaboración permitirá adoptar nuevas estrategias de ciberseguridad, mejorando la protección de vehículos y la comunicación en la cadena de suministro,</w:t>
      </w:r>
      <w:r w:rsidR="00416567">
        <w:rPr>
          <w:lang w:val="es-MX"/>
        </w:rPr>
        <w:t xml:space="preserve"> y</w:t>
      </w:r>
      <w:r w:rsidRPr="002C656E">
        <w:rPr>
          <w:lang w:val="es-MX"/>
        </w:rPr>
        <w:t xml:space="preserve"> fortaleciendo así la posición competitiva de la industria automotriz mexicana</w:t>
      </w:r>
    </w:p>
    <w:p w14:paraId="68039E66" w14:textId="5CFA8763" w:rsidR="00BE73E2" w:rsidRPr="002C656E" w:rsidRDefault="00BE73E2" w:rsidP="00941E87">
      <w:pPr>
        <w:pStyle w:val="ListBullet"/>
        <w:numPr>
          <w:ilvl w:val="0"/>
          <w:numId w:val="0"/>
        </w:numPr>
        <w:rPr>
          <w:lang w:eastAsia="es-ES"/>
        </w:rPr>
      </w:pPr>
    </w:p>
    <w:p w14:paraId="71002146" w14:textId="289148D9" w:rsidR="00077E9B" w:rsidRPr="002C656E" w:rsidRDefault="00D52E53" w:rsidP="00077E9B">
      <w:pPr>
        <w:spacing w:after="0"/>
        <w:rPr>
          <w:rFonts w:ascii="Arial" w:hAnsi="Arial" w:cs="Arial"/>
          <w:szCs w:val="20"/>
        </w:rPr>
      </w:pPr>
      <w:r>
        <w:rPr>
          <w:b/>
          <w:bCs/>
          <w:noProof/>
        </w:rPr>
        <w:t>Ciudad de México</w:t>
      </w:r>
      <w:r w:rsidR="00BE73E2" w:rsidRPr="002C656E">
        <w:rPr>
          <w:b/>
          <w:bCs/>
          <w:noProof/>
        </w:rPr>
        <w:t xml:space="preserve">, </w:t>
      </w:r>
      <w:r w:rsidR="00077E9B" w:rsidRPr="002C656E">
        <w:rPr>
          <w:b/>
          <w:bCs/>
          <w:noProof/>
        </w:rPr>
        <w:t xml:space="preserve">26 </w:t>
      </w:r>
      <w:r w:rsidR="00BE73E2" w:rsidRPr="002C656E">
        <w:rPr>
          <w:b/>
          <w:bCs/>
          <w:noProof/>
        </w:rPr>
        <w:t xml:space="preserve">de </w:t>
      </w:r>
      <w:r w:rsidR="00587AD5" w:rsidRPr="002C656E">
        <w:rPr>
          <w:b/>
          <w:bCs/>
          <w:noProof/>
        </w:rPr>
        <w:t xml:space="preserve">marzo </w:t>
      </w:r>
      <w:r w:rsidR="00BE73E2" w:rsidRPr="002C656E">
        <w:rPr>
          <w:b/>
          <w:bCs/>
          <w:noProof/>
        </w:rPr>
        <w:t xml:space="preserve">de </w:t>
      </w:r>
      <w:r w:rsidR="009C2E38" w:rsidRPr="002C656E">
        <w:rPr>
          <w:b/>
          <w:bCs/>
          <w:noProof/>
        </w:rPr>
        <w:t>202</w:t>
      </w:r>
      <w:r w:rsidR="009A17B3" w:rsidRPr="002C656E">
        <w:rPr>
          <w:b/>
          <w:bCs/>
          <w:noProof/>
        </w:rPr>
        <w:t>5</w:t>
      </w:r>
      <w:r w:rsidR="00BE73E2" w:rsidRPr="002C656E">
        <w:rPr>
          <w:b/>
          <w:bCs/>
          <w:noProof/>
        </w:rPr>
        <w:t>. –</w:t>
      </w:r>
      <w:r w:rsidR="00BE73E2" w:rsidRPr="002C656E">
        <w:rPr>
          <w:noProof/>
        </w:rPr>
        <w:t xml:space="preserve"> </w:t>
      </w:r>
      <w:bookmarkEnd w:id="0"/>
      <w:r w:rsidR="00077E9B" w:rsidRPr="002C656E">
        <w:rPr>
          <w:rFonts w:ascii="Arial" w:hAnsi="Arial" w:cs="Arial"/>
          <w:szCs w:val="20"/>
        </w:rPr>
        <w:t xml:space="preserve">Minsait, una empresa del Grupo </w:t>
      </w:r>
      <w:proofErr w:type="gramStart"/>
      <w:r w:rsidR="00077E9B" w:rsidRPr="002C656E">
        <w:rPr>
          <w:rFonts w:ascii="Arial" w:hAnsi="Arial" w:cs="Arial"/>
          <w:szCs w:val="20"/>
        </w:rPr>
        <w:t>Indra,</w:t>
      </w:r>
      <w:proofErr w:type="gramEnd"/>
      <w:r w:rsidR="00077E9B" w:rsidRPr="002C656E">
        <w:rPr>
          <w:rFonts w:ascii="Arial" w:hAnsi="Arial" w:cs="Arial"/>
          <w:szCs w:val="20"/>
        </w:rPr>
        <w:t xml:space="preserve"> ha firmado en México una alianza estratégica con la Industria Nacional de Autopartes (INA), para impulsar la transformación digital, fortalecer la competitividad y elevar el nivel de concientización de cibersegu</w:t>
      </w:r>
      <w:r w:rsidR="00416567">
        <w:rPr>
          <w:rFonts w:ascii="Arial" w:hAnsi="Arial" w:cs="Arial"/>
          <w:szCs w:val="20"/>
        </w:rPr>
        <w:t>ri</w:t>
      </w:r>
      <w:r w:rsidR="00077E9B" w:rsidRPr="002C656E">
        <w:rPr>
          <w:rFonts w:ascii="Arial" w:hAnsi="Arial" w:cs="Arial"/>
          <w:szCs w:val="20"/>
        </w:rPr>
        <w:t>dad en el sector automotriz mexicano</w:t>
      </w:r>
      <w:r w:rsidR="00416567">
        <w:rPr>
          <w:rFonts w:ascii="Arial" w:hAnsi="Arial" w:cs="Arial"/>
          <w:szCs w:val="20"/>
        </w:rPr>
        <w:t>.</w:t>
      </w:r>
      <w:r w:rsidR="00077E9B" w:rsidRPr="002C656E">
        <w:rPr>
          <w:rFonts w:ascii="Arial" w:hAnsi="Arial" w:cs="Arial"/>
          <w:szCs w:val="20"/>
        </w:rPr>
        <w:t xml:space="preserve"> Esta colaboración iniciará con un diagnóstico integral sobre el estado actual de la ciberseguridad en la industria automotriz y </w:t>
      </w:r>
      <w:r w:rsidR="00416567">
        <w:rPr>
          <w:rFonts w:ascii="Arial" w:hAnsi="Arial" w:cs="Arial"/>
          <w:szCs w:val="20"/>
        </w:rPr>
        <w:t>la promoción de</w:t>
      </w:r>
      <w:r w:rsidR="00077E9B" w:rsidRPr="002C656E">
        <w:rPr>
          <w:rFonts w:ascii="Arial" w:hAnsi="Arial" w:cs="Arial"/>
          <w:szCs w:val="20"/>
        </w:rPr>
        <w:t xml:space="preserve"> la innovación y el cumplimiento normativo</w:t>
      </w:r>
      <w:r w:rsidR="0016158C">
        <w:rPr>
          <w:rFonts w:ascii="Arial" w:hAnsi="Arial" w:cs="Arial"/>
          <w:szCs w:val="20"/>
        </w:rPr>
        <w:t xml:space="preserve"> en este ámbito</w:t>
      </w:r>
      <w:r w:rsidR="00077E9B" w:rsidRPr="002C656E">
        <w:rPr>
          <w:rFonts w:ascii="Arial" w:hAnsi="Arial" w:cs="Arial"/>
          <w:szCs w:val="20"/>
        </w:rPr>
        <w:t xml:space="preserve">. </w:t>
      </w:r>
    </w:p>
    <w:p w14:paraId="5BA79927" w14:textId="616EEF92" w:rsidR="00077E9B" w:rsidRPr="002C656E" w:rsidRDefault="00077E9B" w:rsidP="00077E9B">
      <w:pPr>
        <w:spacing w:after="0"/>
        <w:rPr>
          <w:rFonts w:ascii="Arial" w:hAnsi="Arial" w:cs="Arial"/>
          <w:szCs w:val="20"/>
        </w:rPr>
      </w:pPr>
      <w:r w:rsidRPr="002C656E">
        <w:rPr>
          <w:rFonts w:ascii="Arial" w:hAnsi="Arial" w:cs="Arial"/>
          <w:szCs w:val="20"/>
        </w:rPr>
        <w:t xml:space="preserve">La digitalización del sector ha traído grandes avances, pero también ha aumentado la exposición a riesgos cibernéticos que pueden afectar desde la operación de las fábricas hasta la seguridad de los conductores. En este contexto, la alianza entre Minsait y la INA busca preparar a la industria para enfrentar estos desafíos, </w:t>
      </w:r>
      <w:r w:rsidR="0016158C">
        <w:rPr>
          <w:rFonts w:ascii="Arial" w:hAnsi="Arial" w:cs="Arial"/>
          <w:szCs w:val="20"/>
        </w:rPr>
        <w:t>favoreciendo</w:t>
      </w:r>
      <w:r w:rsidRPr="002C656E">
        <w:rPr>
          <w:rFonts w:ascii="Arial" w:hAnsi="Arial" w:cs="Arial"/>
          <w:szCs w:val="20"/>
        </w:rPr>
        <w:t xml:space="preserve"> que las empresas adopten nuevas tecnologías de manera segura y alineada con los estándares internacionales.</w:t>
      </w:r>
    </w:p>
    <w:p w14:paraId="15A6D1A9" w14:textId="2FFDAEC0" w:rsidR="00077E9B" w:rsidRPr="002C656E" w:rsidRDefault="0016158C" w:rsidP="00077E9B">
      <w:p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La INA, que</w:t>
      </w:r>
      <w:r w:rsidR="00D52E53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representa a </w:t>
      </w:r>
      <w:r w:rsidR="00077E9B" w:rsidRPr="002C656E">
        <w:rPr>
          <w:rFonts w:ascii="Arial" w:hAnsi="Arial" w:cs="Arial"/>
          <w:szCs w:val="20"/>
        </w:rPr>
        <w:t xml:space="preserve">más de 700 plantas manufactureras de autopartes en México, es un pilar clave para el desarrollo y la sostenibilidad de la industria automotriz nacional. La alianza con Minsait se posiciona como una respuesta estratégica para fortalecer la resiliencia del sector frente a las </w:t>
      </w:r>
      <w:proofErr w:type="spellStart"/>
      <w:r w:rsidR="00077E9B" w:rsidRPr="002C656E">
        <w:rPr>
          <w:rFonts w:ascii="Arial" w:hAnsi="Arial" w:cs="Arial"/>
          <w:szCs w:val="20"/>
        </w:rPr>
        <w:t>ciberamenazas</w:t>
      </w:r>
      <w:proofErr w:type="spellEnd"/>
      <w:r w:rsidR="00077E9B" w:rsidRPr="002C656E">
        <w:rPr>
          <w:rFonts w:ascii="Arial" w:hAnsi="Arial" w:cs="Arial"/>
          <w:szCs w:val="20"/>
        </w:rPr>
        <w:t xml:space="preserve"> y reforzar la seguridad de las operaciones en un contexto cada vez más tecnológico y conectado.  </w:t>
      </w:r>
    </w:p>
    <w:p w14:paraId="3BC60E52" w14:textId="34F50AF3" w:rsidR="00077E9B" w:rsidRPr="002C656E" w:rsidRDefault="00077E9B" w:rsidP="00077E9B">
      <w:pPr>
        <w:rPr>
          <w:rFonts w:ascii="Arial" w:hAnsi="Arial" w:cs="Arial"/>
          <w:szCs w:val="20"/>
        </w:rPr>
      </w:pPr>
      <w:r w:rsidRPr="002C656E">
        <w:rPr>
          <w:rFonts w:ascii="Arial" w:hAnsi="Arial" w:cs="Arial"/>
          <w:szCs w:val="20"/>
        </w:rPr>
        <w:t xml:space="preserve">“A través de esta colaboración, buscamos que las empresas conozcan su nivel de madurez digital en materia de ciberseguridad, fomentando y concientizando el uso de tecnologías avanzadas en la cadena de valor” subrayó </w:t>
      </w:r>
      <w:r w:rsidR="00E70898" w:rsidRPr="00E70898">
        <w:rPr>
          <w:rFonts w:ascii="Arial" w:hAnsi="Arial" w:cs="Arial"/>
          <w:szCs w:val="20"/>
        </w:rPr>
        <w:t>Julio Galván, Gerente de Estudios Económicos de la IN</w:t>
      </w:r>
      <w:r w:rsidR="00E70898">
        <w:rPr>
          <w:rFonts w:ascii="Arial" w:hAnsi="Arial" w:cs="Arial"/>
          <w:szCs w:val="20"/>
        </w:rPr>
        <w:t xml:space="preserve">A, </w:t>
      </w:r>
      <w:r w:rsidRPr="002C656E">
        <w:rPr>
          <w:rFonts w:ascii="Arial" w:hAnsi="Arial" w:cs="Arial"/>
          <w:szCs w:val="20"/>
        </w:rPr>
        <w:t>y continuó “con esta visión, la INA reafirma su compromiso de liderar la evolución del sector, alineando a la industria con las tendencias globales y asegurando su crecimiento sostenible en un entorno cada vez más digitalizado”.</w:t>
      </w:r>
    </w:p>
    <w:p w14:paraId="38203608" w14:textId="1E06937F" w:rsidR="00077E9B" w:rsidRPr="002C656E" w:rsidRDefault="00416567" w:rsidP="00077E9B">
      <w:p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“</w:t>
      </w:r>
      <w:r w:rsidR="00077E9B" w:rsidRPr="002C656E">
        <w:rPr>
          <w:rFonts w:ascii="Arial" w:hAnsi="Arial" w:cs="Arial"/>
          <w:szCs w:val="20"/>
        </w:rPr>
        <w:t>El objetivo común es generar conciencia sobre la importancia de la ciberseguridad y promover las mejores prácticas para proteger a las organizaciones del sector automotriz", afirmó Erik Moreno, director de Ciberseguridad de Minsait en México. “En Minsait, enfatizamos la colaboración con organizaciones de los sectores públicos y privados para avanzar en ciberseguridad e ir a la par de los c</w:t>
      </w:r>
      <w:r w:rsidR="0016158C">
        <w:rPr>
          <w:rFonts w:ascii="Arial" w:hAnsi="Arial" w:cs="Arial"/>
          <w:szCs w:val="20"/>
        </w:rPr>
        <w:t>iberdelincuentes</w:t>
      </w:r>
      <w:r w:rsidR="00077E9B" w:rsidRPr="002C656E">
        <w:rPr>
          <w:rFonts w:ascii="Arial" w:hAnsi="Arial" w:cs="Arial"/>
          <w:szCs w:val="20"/>
        </w:rPr>
        <w:t>”, añadió.</w:t>
      </w:r>
    </w:p>
    <w:p w14:paraId="46C5AD5E" w14:textId="77777777" w:rsidR="00077E9B" w:rsidRPr="002C656E" w:rsidRDefault="00077E9B" w:rsidP="00077E9B">
      <w:pPr>
        <w:spacing w:after="0"/>
        <w:rPr>
          <w:rFonts w:ascii="Arial" w:hAnsi="Arial" w:cs="Arial"/>
          <w:szCs w:val="20"/>
        </w:rPr>
      </w:pPr>
    </w:p>
    <w:p w14:paraId="09381A04" w14:textId="1C5876A7" w:rsidR="00077E9B" w:rsidRPr="002C656E" w:rsidRDefault="00077E9B" w:rsidP="00077E9B">
      <w:pPr>
        <w:spacing w:after="0"/>
        <w:rPr>
          <w:rFonts w:ascii="Arial" w:hAnsi="Arial" w:cs="Arial"/>
          <w:b/>
          <w:bCs/>
          <w:szCs w:val="20"/>
        </w:rPr>
      </w:pPr>
      <w:r w:rsidRPr="002C656E">
        <w:rPr>
          <w:rFonts w:ascii="Arial" w:hAnsi="Arial" w:cs="Arial"/>
          <w:b/>
          <w:bCs/>
          <w:szCs w:val="20"/>
        </w:rPr>
        <w:t>Ciberseguridad en la era de la digitalización automotriz</w:t>
      </w:r>
    </w:p>
    <w:p w14:paraId="76C4FF8B" w14:textId="3385F6D1" w:rsidR="00077E9B" w:rsidRPr="002C656E" w:rsidRDefault="00077E9B" w:rsidP="00077E9B">
      <w:pPr>
        <w:spacing w:after="0"/>
        <w:rPr>
          <w:rFonts w:ascii="Arial" w:hAnsi="Arial" w:cs="Arial"/>
          <w:szCs w:val="20"/>
        </w:rPr>
      </w:pPr>
      <w:r w:rsidRPr="002C656E">
        <w:rPr>
          <w:rFonts w:ascii="Arial" w:hAnsi="Arial" w:cs="Arial"/>
          <w:szCs w:val="20"/>
        </w:rPr>
        <w:t>El sector automotriz ha experimentado una transformación sin precedentes con la incorporación de Internet de las Cosas (</w:t>
      </w:r>
      <w:proofErr w:type="spellStart"/>
      <w:r w:rsidRPr="002C656E">
        <w:rPr>
          <w:rFonts w:ascii="Arial" w:hAnsi="Arial" w:cs="Arial"/>
          <w:szCs w:val="20"/>
        </w:rPr>
        <w:t>IoT</w:t>
      </w:r>
      <w:proofErr w:type="spellEnd"/>
      <w:r w:rsidRPr="002C656E">
        <w:rPr>
          <w:rFonts w:ascii="Arial" w:hAnsi="Arial" w:cs="Arial"/>
          <w:szCs w:val="20"/>
        </w:rPr>
        <w:t xml:space="preserve">), </w:t>
      </w:r>
      <w:r w:rsidR="0016158C">
        <w:rPr>
          <w:rFonts w:ascii="Arial" w:hAnsi="Arial" w:cs="Arial"/>
          <w:szCs w:val="20"/>
        </w:rPr>
        <w:t>I</w:t>
      </w:r>
      <w:r w:rsidRPr="002C656E">
        <w:rPr>
          <w:rFonts w:ascii="Arial" w:hAnsi="Arial" w:cs="Arial"/>
          <w:szCs w:val="20"/>
        </w:rPr>
        <w:t xml:space="preserve">nteligencia </w:t>
      </w:r>
      <w:r w:rsidR="0016158C">
        <w:rPr>
          <w:rFonts w:ascii="Arial" w:hAnsi="Arial" w:cs="Arial"/>
          <w:szCs w:val="20"/>
        </w:rPr>
        <w:t>A</w:t>
      </w:r>
      <w:r w:rsidRPr="002C656E">
        <w:rPr>
          <w:rFonts w:ascii="Arial" w:hAnsi="Arial" w:cs="Arial"/>
          <w:szCs w:val="20"/>
        </w:rPr>
        <w:t>rtificial (IA) y sistemas de conducción autónoma. Estas tecnologías han optimizado la fabricación de autopartes y mejorado la conectividad de los vehículos, pero también han incrementado la vulnerabilidad ante ataques cibernéticos.</w:t>
      </w:r>
    </w:p>
    <w:p w14:paraId="6CED2A60" w14:textId="44B738B1" w:rsidR="00077E9B" w:rsidRPr="002C656E" w:rsidRDefault="00077E9B" w:rsidP="00077E9B">
      <w:pPr>
        <w:spacing w:after="0"/>
        <w:rPr>
          <w:rFonts w:ascii="Arial" w:hAnsi="Arial" w:cs="Arial"/>
          <w:szCs w:val="20"/>
        </w:rPr>
      </w:pPr>
      <w:r w:rsidRPr="002C656E">
        <w:rPr>
          <w:rFonts w:ascii="Arial" w:hAnsi="Arial" w:cs="Arial"/>
          <w:szCs w:val="20"/>
        </w:rPr>
        <w:t xml:space="preserve">Los vehículos modernos están cada vez más expuestos a ataques que podrían comprometer tanto la seguridad de los conductores como la continuidad operativa de las empresas fabricantes y proveedoras de autopartes.  </w:t>
      </w:r>
    </w:p>
    <w:p w14:paraId="1A19E7C2" w14:textId="5704C637" w:rsidR="0016158C" w:rsidRPr="002C656E" w:rsidRDefault="00077E9B" w:rsidP="0016158C">
      <w:pPr>
        <w:spacing w:after="0"/>
        <w:rPr>
          <w:rFonts w:ascii="Arial" w:hAnsi="Arial" w:cs="Arial"/>
          <w:szCs w:val="20"/>
        </w:rPr>
      </w:pPr>
      <w:r w:rsidRPr="002C656E">
        <w:rPr>
          <w:rFonts w:ascii="Arial" w:hAnsi="Arial" w:cs="Arial"/>
          <w:szCs w:val="20"/>
        </w:rPr>
        <w:t>Un ataque a un vehículo conectado podría permitir la manipulación remota de sus sistemas o la sustracción de datos sensibles de los usuarios. Asimismo, una vulnerabilidad en la cadena de suministro podría permitir a los atacantes infiltrar sistemas críticos y paralizar operaciones clave en la industria</w:t>
      </w:r>
      <w:r w:rsidR="0016158C">
        <w:rPr>
          <w:rFonts w:ascii="Arial" w:hAnsi="Arial" w:cs="Arial"/>
          <w:szCs w:val="20"/>
        </w:rPr>
        <w:t>,</w:t>
      </w:r>
      <w:r w:rsidR="0016158C">
        <w:rPr>
          <w:rFonts w:ascii="Arial" w:hAnsi="Arial" w:cs="Arial"/>
          <w:szCs w:val="20"/>
        </w:rPr>
        <w:t xml:space="preserve"> algo que podría conllevar graves consecuencias económicas y/o reputacionales para la compañía e, incluso, afectar a la integridad física de personas</w:t>
      </w:r>
      <w:r w:rsidR="0016158C">
        <w:rPr>
          <w:rFonts w:ascii="Arial" w:hAnsi="Arial" w:cs="Arial"/>
          <w:szCs w:val="20"/>
        </w:rPr>
        <w:t>.</w:t>
      </w:r>
    </w:p>
    <w:p w14:paraId="617FA454" w14:textId="6EDCC45B" w:rsidR="00077E9B" w:rsidRPr="002C656E" w:rsidRDefault="00077E9B" w:rsidP="00077E9B">
      <w:pPr>
        <w:spacing w:after="0"/>
        <w:rPr>
          <w:rFonts w:ascii="Arial" w:hAnsi="Arial" w:cs="Arial"/>
          <w:szCs w:val="20"/>
        </w:rPr>
      </w:pPr>
      <w:r w:rsidRPr="002C656E">
        <w:rPr>
          <w:rFonts w:ascii="Arial" w:hAnsi="Arial" w:cs="Arial"/>
          <w:szCs w:val="20"/>
        </w:rPr>
        <w:lastRenderedPageBreak/>
        <w:t xml:space="preserve"> </w:t>
      </w:r>
    </w:p>
    <w:p w14:paraId="62114FBE" w14:textId="6349C574" w:rsidR="00077E9B" w:rsidRPr="002C656E" w:rsidRDefault="00077E9B" w:rsidP="00077E9B">
      <w:pPr>
        <w:spacing w:after="0"/>
        <w:rPr>
          <w:rFonts w:ascii="Arial" w:hAnsi="Arial" w:cs="Arial"/>
          <w:szCs w:val="20"/>
        </w:rPr>
      </w:pPr>
    </w:p>
    <w:p w14:paraId="436A5CDB" w14:textId="535AE00D" w:rsidR="00077E9B" w:rsidRPr="002C656E" w:rsidRDefault="00077E9B" w:rsidP="00077E9B">
      <w:pPr>
        <w:spacing w:after="0"/>
        <w:rPr>
          <w:rFonts w:ascii="Arial" w:hAnsi="Arial" w:cs="Arial"/>
          <w:b/>
          <w:bCs/>
          <w:szCs w:val="20"/>
        </w:rPr>
      </w:pPr>
      <w:r w:rsidRPr="002C656E">
        <w:rPr>
          <w:rFonts w:ascii="Arial" w:hAnsi="Arial" w:cs="Arial"/>
          <w:b/>
          <w:bCs/>
          <w:szCs w:val="20"/>
        </w:rPr>
        <w:t xml:space="preserve">TISAX, un referente de seguridad para el sector automotriz  </w:t>
      </w:r>
    </w:p>
    <w:p w14:paraId="57FCB2D3" w14:textId="4CE03256" w:rsidR="00077E9B" w:rsidRPr="002C656E" w:rsidRDefault="00077E9B" w:rsidP="00077E9B">
      <w:pPr>
        <w:spacing w:after="0"/>
        <w:rPr>
          <w:rFonts w:ascii="Arial" w:hAnsi="Arial" w:cs="Arial"/>
          <w:szCs w:val="20"/>
        </w:rPr>
      </w:pPr>
      <w:r w:rsidRPr="002C656E">
        <w:rPr>
          <w:rFonts w:ascii="Arial" w:hAnsi="Arial" w:cs="Arial"/>
          <w:szCs w:val="20"/>
        </w:rPr>
        <w:t>Desde 2017, la industria automotriz ha adoptado el marco de seguridad TISAX (</w:t>
      </w:r>
      <w:proofErr w:type="spellStart"/>
      <w:r w:rsidRPr="002C656E">
        <w:rPr>
          <w:rFonts w:ascii="Arial" w:hAnsi="Arial" w:cs="Arial"/>
          <w:szCs w:val="20"/>
        </w:rPr>
        <w:t>Trusted</w:t>
      </w:r>
      <w:proofErr w:type="spellEnd"/>
      <w:r w:rsidRPr="002C656E">
        <w:rPr>
          <w:rFonts w:ascii="Arial" w:hAnsi="Arial" w:cs="Arial"/>
          <w:szCs w:val="20"/>
        </w:rPr>
        <w:t xml:space="preserve"> </w:t>
      </w:r>
      <w:proofErr w:type="spellStart"/>
      <w:r w:rsidRPr="002C656E">
        <w:rPr>
          <w:rFonts w:ascii="Arial" w:hAnsi="Arial" w:cs="Arial"/>
          <w:szCs w:val="20"/>
        </w:rPr>
        <w:t>Information</w:t>
      </w:r>
      <w:proofErr w:type="spellEnd"/>
      <w:r w:rsidRPr="002C656E">
        <w:rPr>
          <w:rFonts w:ascii="Arial" w:hAnsi="Arial" w:cs="Arial"/>
          <w:szCs w:val="20"/>
        </w:rPr>
        <w:t xml:space="preserve"> Security </w:t>
      </w:r>
      <w:proofErr w:type="spellStart"/>
      <w:r w:rsidRPr="002C656E">
        <w:rPr>
          <w:rFonts w:ascii="Arial" w:hAnsi="Arial" w:cs="Arial"/>
          <w:szCs w:val="20"/>
        </w:rPr>
        <w:t>Assessment</w:t>
      </w:r>
      <w:proofErr w:type="spellEnd"/>
      <w:r w:rsidRPr="002C656E">
        <w:rPr>
          <w:rFonts w:ascii="Arial" w:hAnsi="Arial" w:cs="Arial"/>
          <w:szCs w:val="20"/>
        </w:rPr>
        <w:t xml:space="preserve"> Exchange), desarrollado por la Asociación Alemana de la Industria Automotriz (VDA), el cual establece controles rigurosos para garantizar la protección de la información a lo largo de toda la cadena de valor automotriz.  </w:t>
      </w:r>
    </w:p>
    <w:p w14:paraId="14652890" w14:textId="77777777" w:rsidR="00077E9B" w:rsidRPr="002C656E" w:rsidRDefault="00077E9B" w:rsidP="00077E9B">
      <w:pPr>
        <w:spacing w:after="0"/>
        <w:rPr>
          <w:rFonts w:ascii="Arial" w:hAnsi="Arial" w:cs="Arial"/>
          <w:szCs w:val="20"/>
        </w:rPr>
      </w:pPr>
      <w:r w:rsidRPr="002C656E">
        <w:rPr>
          <w:rFonts w:ascii="Arial" w:hAnsi="Arial" w:cs="Arial"/>
          <w:szCs w:val="20"/>
        </w:rPr>
        <w:t xml:space="preserve">En México, la implementación de TISAX representa un reto debido a la complejidad de la cadena de suministro automotriz. La industria de autopartes en el país trabaja con cientos de proveedores nacionales e internacionales, lo que multiplica las posibles vulnerabilidades en términos de seguridad digital. Por esta razón, la alianza entre Minsait y la INA se convierte en un elemento clave para garantizar que las empresas mexicanas cumplan con los estándares internacionales de seguridad y mejoren su capacidad de respuesta ante ciberataques.  </w:t>
      </w:r>
    </w:p>
    <w:p w14:paraId="2018B87D" w14:textId="745A82F2" w:rsidR="00077E9B" w:rsidRPr="002C656E" w:rsidRDefault="00077E9B" w:rsidP="00077E9B">
      <w:pPr>
        <w:spacing w:after="0"/>
        <w:rPr>
          <w:rFonts w:ascii="Arial" w:hAnsi="Arial" w:cs="Arial"/>
          <w:b/>
          <w:bCs/>
          <w:szCs w:val="20"/>
        </w:rPr>
      </w:pPr>
      <w:r w:rsidRPr="002C656E">
        <w:rPr>
          <w:rFonts w:ascii="Arial" w:hAnsi="Arial" w:cs="Arial"/>
          <w:b/>
          <w:bCs/>
          <w:szCs w:val="20"/>
        </w:rPr>
        <w:t xml:space="preserve">Diagnóstico integral: un primer paso hacia la </w:t>
      </w:r>
      <w:proofErr w:type="spellStart"/>
      <w:r w:rsidRPr="002C656E">
        <w:rPr>
          <w:rFonts w:ascii="Arial" w:hAnsi="Arial" w:cs="Arial"/>
          <w:b/>
          <w:bCs/>
          <w:szCs w:val="20"/>
        </w:rPr>
        <w:t>ciberresiliencia</w:t>
      </w:r>
      <w:proofErr w:type="spellEnd"/>
      <w:r w:rsidRPr="002C656E">
        <w:rPr>
          <w:rFonts w:ascii="Arial" w:hAnsi="Arial" w:cs="Arial"/>
          <w:b/>
          <w:bCs/>
          <w:szCs w:val="20"/>
        </w:rPr>
        <w:t xml:space="preserve"> </w:t>
      </w:r>
    </w:p>
    <w:p w14:paraId="5C509713" w14:textId="37B1D82E" w:rsidR="00077E9B" w:rsidRPr="002C656E" w:rsidRDefault="00077E9B" w:rsidP="00077E9B">
      <w:pPr>
        <w:spacing w:after="0"/>
        <w:rPr>
          <w:rFonts w:ascii="Arial" w:hAnsi="Arial" w:cs="Arial"/>
          <w:szCs w:val="20"/>
        </w:rPr>
      </w:pPr>
      <w:r w:rsidRPr="002C656E">
        <w:rPr>
          <w:rFonts w:ascii="Arial" w:hAnsi="Arial" w:cs="Arial"/>
          <w:szCs w:val="20"/>
        </w:rPr>
        <w:t>Uno de los ejes principales de la alianza será la realización de un diagnóstico integral de ciberseguridad en las plantas de autopartes afiliadas a la INA. Este análisis permitirá evaluar el nivel de madurez de la industria en materia de seguridad de la información</w:t>
      </w:r>
      <w:r w:rsidR="00416567">
        <w:rPr>
          <w:rFonts w:ascii="Arial" w:hAnsi="Arial" w:cs="Arial"/>
          <w:szCs w:val="20"/>
        </w:rPr>
        <w:t>,</w:t>
      </w:r>
      <w:r w:rsidRPr="002C656E">
        <w:rPr>
          <w:rFonts w:ascii="Arial" w:hAnsi="Arial" w:cs="Arial"/>
          <w:szCs w:val="20"/>
        </w:rPr>
        <w:t xml:space="preserve"> resiliencia ante ataques cibernéticos y sentará las bases para el diseño de una estrategia integral de protección.  </w:t>
      </w:r>
    </w:p>
    <w:p w14:paraId="1AC09324" w14:textId="77777777" w:rsidR="00077E9B" w:rsidRPr="002C656E" w:rsidRDefault="00077E9B" w:rsidP="00077E9B">
      <w:pPr>
        <w:spacing w:after="0"/>
        <w:rPr>
          <w:rFonts w:ascii="Arial" w:hAnsi="Arial" w:cs="Arial"/>
          <w:szCs w:val="20"/>
        </w:rPr>
      </w:pPr>
      <w:r w:rsidRPr="002C656E">
        <w:rPr>
          <w:rFonts w:ascii="Arial" w:hAnsi="Arial" w:cs="Arial"/>
          <w:szCs w:val="20"/>
        </w:rPr>
        <w:t>Para ello, se aplicarán tres marcos de referencia:</w:t>
      </w:r>
    </w:p>
    <w:p w14:paraId="68D97A62" w14:textId="77777777" w:rsidR="00077E9B" w:rsidRPr="002C656E" w:rsidRDefault="00077E9B" w:rsidP="00077E9B">
      <w:pPr>
        <w:spacing w:after="0"/>
        <w:rPr>
          <w:rFonts w:ascii="Arial" w:hAnsi="Arial" w:cs="Arial"/>
          <w:szCs w:val="20"/>
        </w:rPr>
      </w:pPr>
    </w:p>
    <w:p w14:paraId="7A38E52E" w14:textId="6D351DB8" w:rsidR="00077E9B" w:rsidRPr="002C656E" w:rsidRDefault="00077E9B" w:rsidP="00077E9B">
      <w:pPr>
        <w:pStyle w:val="ListParagraph"/>
        <w:numPr>
          <w:ilvl w:val="0"/>
          <w:numId w:val="19"/>
        </w:numPr>
        <w:spacing w:before="0" w:after="0"/>
        <w:jc w:val="left"/>
        <w:rPr>
          <w:rFonts w:ascii="Arial" w:hAnsi="Arial" w:cs="Arial"/>
          <w:szCs w:val="20"/>
        </w:rPr>
      </w:pPr>
      <w:r w:rsidRPr="002C656E">
        <w:rPr>
          <w:rFonts w:ascii="Arial" w:hAnsi="Arial" w:cs="Arial"/>
          <w:b/>
          <w:bCs/>
          <w:szCs w:val="20"/>
        </w:rPr>
        <w:t>Cumplimiento con TISAX.</w:t>
      </w:r>
      <w:r w:rsidRPr="002C656E">
        <w:rPr>
          <w:rFonts w:ascii="Arial" w:hAnsi="Arial" w:cs="Arial"/>
          <w:szCs w:val="20"/>
        </w:rPr>
        <w:t xml:space="preserve"> Evaluación de la implementación de los controles de seguridad exigidos por este estándar.</w:t>
      </w:r>
    </w:p>
    <w:p w14:paraId="73BCFEE8" w14:textId="77777777" w:rsidR="00077E9B" w:rsidRPr="002C656E" w:rsidRDefault="00077E9B" w:rsidP="00077E9B">
      <w:pPr>
        <w:pStyle w:val="ListParagraph"/>
        <w:numPr>
          <w:ilvl w:val="0"/>
          <w:numId w:val="19"/>
        </w:numPr>
        <w:spacing w:before="0" w:after="0"/>
        <w:jc w:val="left"/>
        <w:rPr>
          <w:rFonts w:ascii="Arial" w:hAnsi="Arial" w:cs="Arial"/>
          <w:szCs w:val="20"/>
        </w:rPr>
      </w:pPr>
      <w:r w:rsidRPr="002C656E">
        <w:rPr>
          <w:rFonts w:ascii="Arial" w:hAnsi="Arial" w:cs="Arial"/>
          <w:b/>
          <w:bCs/>
          <w:szCs w:val="20"/>
        </w:rPr>
        <w:t xml:space="preserve">Resiliencia organizacional bajo los NIST Security </w:t>
      </w:r>
      <w:proofErr w:type="spellStart"/>
      <w:r w:rsidRPr="002C656E">
        <w:rPr>
          <w:rFonts w:ascii="Arial" w:hAnsi="Arial" w:cs="Arial"/>
          <w:b/>
          <w:bCs/>
          <w:szCs w:val="20"/>
        </w:rPr>
        <w:t>Frameworks</w:t>
      </w:r>
      <w:proofErr w:type="spellEnd"/>
      <w:r w:rsidRPr="002C656E">
        <w:rPr>
          <w:rFonts w:ascii="Arial" w:hAnsi="Arial" w:cs="Arial"/>
          <w:b/>
          <w:bCs/>
          <w:szCs w:val="20"/>
        </w:rPr>
        <w:t>.</w:t>
      </w:r>
      <w:r w:rsidRPr="002C656E">
        <w:rPr>
          <w:rFonts w:ascii="Arial" w:hAnsi="Arial" w:cs="Arial"/>
          <w:szCs w:val="20"/>
        </w:rPr>
        <w:t xml:space="preserve"> Análisis de la capacidad de respuesta y recuperación de las empresas ante incidentes cibernéticos.  </w:t>
      </w:r>
    </w:p>
    <w:p w14:paraId="348C0B62" w14:textId="622D779C" w:rsidR="00077E9B" w:rsidRPr="002C656E" w:rsidRDefault="00077E9B" w:rsidP="00077E9B">
      <w:pPr>
        <w:pStyle w:val="ListParagraph"/>
        <w:numPr>
          <w:ilvl w:val="0"/>
          <w:numId w:val="19"/>
        </w:numPr>
        <w:spacing w:before="0" w:after="160" w:line="259" w:lineRule="auto"/>
        <w:jc w:val="left"/>
        <w:rPr>
          <w:rFonts w:ascii="Arial" w:hAnsi="Arial" w:cs="Arial"/>
          <w:szCs w:val="20"/>
        </w:rPr>
      </w:pPr>
      <w:r w:rsidRPr="002C656E">
        <w:rPr>
          <w:rFonts w:ascii="Arial" w:hAnsi="Arial" w:cs="Arial"/>
          <w:b/>
          <w:bCs/>
          <w:szCs w:val="20"/>
        </w:rPr>
        <w:t>Certificación ISO 27001.</w:t>
      </w:r>
      <w:r w:rsidRPr="002C656E">
        <w:rPr>
          <w:rFonts w:ascii="Arial" w:hAnsi="Arial" w:cs="Arial"/>
          <w:szCs w:val="20"/>
        </w:rPr>
        <w:t xml:space="preserve"> Conocer sus capacidades de ciberseguridad asociadas a la certificación ISO 27001.  </w:t>
      </w:r>
    </w:p>
    <w:p w14:paraId="655A2ACA" w14:textId="77777777" w:rsidR="00077E9B" w:rsidRPr="002C656E" w:rsidRDefault="00077E9B" w:rsidP="00077E9B">
      <w:pPr>
        <w:spacing w:after="0"/>
        <w:rPr>
          <w:rFonts w:ascii="Arial" w:hAnsi="Arial" w:cs="Arial"/>
          <w:szCs w:val="20"/>
        </w:rPr>
      </w:pPr>
      <w:r w:rsidRPr="002C656E">
        <w:rPr>
          <w:rFonts w:ascii="Arial" w:hAnsi="Arial" w:cs="Arial"/>
          <w:szCs w:val="20"/>
        </w:rPr>
        <w:t xml:space="preserve">Minsait será responsable de analizar los resultados y proporcionar un diagnóstico detallado sobre el estado de la ciberseguridad en la industria de autopartes mexicana. Cada empresa participante recibirá un informe personalizado que le permitirá identificar fortalezas y áreas de mejora de la industria, además de contar con una referencia comparativa con otras empresas del sector a nivel global.  </w:t>
      </w:r>
    </w:p>
    <w:p w14:paraId="4F287C7F" w14:textId="77777777" w:rsidR="00077E9B" w:rsidRPr="002C656E" w:rsidRDefault="00077E9B" w:rsidP="00077E9B">
      <w:pPr>
        <w:spacing w:after="0"/>
        <w:rPr>
          <w:rFonts w:ascii="Arial" w:hAnsi="Arial" w:cs="Arial"/>
          <w:szCs w:val="20"/>
        </w:rPr>
      </w:pPr>
    </w:p>
    <w:p w14:paraId="5F3CEA4D" w14:textId="77777777" w:rsidR="00077E9B" w:rsidRPr="002C656E" w:rsidRDefault="00077E9B" w:rsidP="00077E9B">
      <w:pPr>
        <w:spacing w:after="0"/>
        <w:rPr>
          <w:rFonts w:ascii="Arial" w:hAnsi="Arial" w:cs="Arial"/>
          <w:b/>
          <w:bCs/>
          <w:szCs w:val="20"/>
        </w:rPr>
      </w:pPr>
      <w:r w:rsidRPr="002C656E">
        <w:rPr>
          <w:rFonts w:ascii="Arial" w:hAnsi="Arial" w:cs="Arial"/>
          <w:b/>
          <w:bCs/>
          <w:szCs w:val="20"/>
        </w:rPr>
        <w:t xml:space="preserve">Beneficios para las empresas afiliadas a la INA  </w:t>
      </w:r>
    </w:p>
    <w:p w14:paraId="6C68B385" w14:textId="745E95FE" w:rsidR="00077E9B" w:rsidRPr="002C656E" w:rsidRDefault="00077E9B" w:rsidP="00077E9B">
      <w:pPr>
        <w:spacing w:after="0"/>
        <w:rPr>
          <w:rFonts w:ascii="Arial" w:hAnsi="Arial" w:cs="Arial"/>
          <w:szCs w:val="20"/>
        </w:rPr>
      </w:pPr>
      <w:r w:rsidRPr="002C656E">
        <w:rPr>
          <w:rFonts w:ascii="Arial" w:hAnsi="Arial" w:cs="Arial"/>
          <w:szCs w:val="20"/>
        </w:rPr>
        <w:t xml:space="preserve">Como las principales beneficiarias de esta alianza, las plantas de autopartes que agrupa la INA tendrán a su disposición la información más reciente alrededor de la ciberseguridad, así como asesoría directa para implementar estrategias de protección a medida y mejorar su capacidad de respuesta ante amenazas digitales.  </w:t>
      </w:r>
    </w:p>
    <w:p w14:paraId="4C48F4CB" w14:textId="6ED70110" w:rsidR="00077E9B" w:rsidRPr="002C656E" w:rsidRDefault="00077E9B" w:rsidP="00077E9B">
      <w:pPr>
        <w:spacing w:after="0"/>
        <w:rPr>
          <w:rFonts w:ascii="Arial" w:hAnsi="Arial" w:cs="Arial"/>
          <w:szCs w:val="20"/>
        </w:rPr>
      </w:pPr>
      <w:r w:rsidRPr="002C656E">
        <w:rPr>
          <w:rFonts w:ascii="Arial" w:hAnsi="Arial" w:cs="Arial"/>
          <w:szCs w:val="20"/>
        </w:rPr>
        <w:t xml:space="preserve">Por su parte, la INA será responsable de difundir los resultados del diagnóstico entre sus afiliados y establecer un marco de colaboración para mejorar las prácticas de ciberseguridad en el sector. Cabe mencionar que los resultados serán tratados con estricta confidencialidad y solo se comunicará información general que permita a las empresas identificar su nivel de madurez en comparación con estándares internacionales.  </w:t>
      </w:r>
    </w:p>
    <w:p w14:paraId="25E3EEE8" w14:textId="77777777" w:rsidR="00077E9B" w:rsidRPr="002C656E" w:rsidRDefault="00077E9B" w:rsidP="00077E9B">
      <w:pPr>
        <w:spacing w:after="0"/>
        <w:rPr>
          <w:rFonts w:ascii="Arial" w:hAnsi="Arial" w:cs="Arial"/>
          <w:szCs w:val="20"/>
        </w:rPr>
      </w:pPr>
      <w:r w:rsidRPr="002C656E">
        <w:rPr>
          <w:rFonts w:ascii="Arial" w:hAnsi="Arial" w:cs="Arial"/>
          <w:szCs w:val="20"/>
        </w:rPr>
        <w:t xml:space="preserve">“Queremos apoyar a la industria en la protección de vehículos conectados, reforzar la protección de la comunicación entre los vehículos y las infraestructuras, y minimizar las vulnerabilidades”, indicó Erik Moreno.  </w:t>
      </w:r>
    </w:p>
    <w:p w14:paraId="345107FC" w14:textId="77777777" w:rsidR="00077E9B" w:rsidRPr="002C656E" w:rsidRDefault="00077E9B" w:rsidP="00077E9B">
      <w:pPr>
        <w:spacing w:after="0"/>
        <w:rPr>
          <w:rFonts w:ascii="Arial" w:hAnsi="Arial" w:cs="Arial"/>
          <w:szCs w:val="20"/>
        </w:rPr>
      </w:pPr>
    </w:p>
    <w:p w14:paraId="23AC0FE3" w14:textId="77777777" w:rsidR="00077E9B" w:rsidRPr="002C656E" w:rsidRDefault="00077E9B" w:rsidP="00077E9B">
      <w:pPr>
        <w:spacing w:after="0"/>
        <w:rPr>
          <w:rFonts w:ascii="Arial" w:hAnsi="Arial" w:cs="Arial"/>
          <w:b/>
          <w:bCs/>
          <w:szCs w:val="20"/>
        </w:rPr>
      </w:pPr>
      <w:r w:rsidRPr="002C656E">
        <w:rPr>
          <w:rFonts w:ascii="Arial" w:hAnsi="Arial" w:cs="Arial"/>
          <w:b/>
          <w:bCs/>
          <w:szCs w:val="20"/>
        </w:rPr>
        <w:t>Una alianza estratégica para el futuro del sector</w:t>
      </w:r>
    </w:p>
    <w:p w14:paraId="26BD175C" w14:textId="17924063" w:rsidR="00077E9B" w:rsidRPr="002C656E" w:rsidRDefault="00077E9B" w:rsidP="00077E9B">
      <w:pPr>
        <w:spacing w:after="0"/>
        <w:rPr>
          <w:rFonts w:ascii="Arial" w:hAnsi="Arial" w:cs="Arial"/>
          <w:szCs w:val="20"/>
        </w:rPr>
      </w:pPr>
      <w:r w:rsidRPr="002C656E">
        <w:rPr>
          <w:rFonts w:ascii="Arial" w:hAnsi="Arial" w:cs="Arial"/>
          <w:szCs w:val="20"/>
        </w:rPr>
        <w:t xml:space="preserve">La alianza entre Minsait y la INA marca un punto de inflexión para la industria automotriz mexicana. En un contexto donde la digitalización y la conectividad son esenciales para el desarrollo del sector, contar con una estrategia robusta de ciberseguridad se ha vuelto una prioridad. Esta colaboración permitirá a las empresas de autopartes mejorar su capacidad de respuesta ante amenazas digitales, garantizar la continuidad operativa y abrir nuevas oportunidades de innovación tecnológica.  </w:t>
      </w:r>
    </w:p>
    <w:p w14:paraId="6D109640" w14:textId="12949B07" w:rsidR="00077E9B" w:rsidRPr="002C656E" w:rsidRDefault="00077E9B" w:rsidP="00077E9B">
      <w:pPr>
        <w:spacing w:after="0"/>
        <w:rPr>
          <w:rFonts w:ascii="Arial" w:hAnsi="Arial" w:cs="Arial"/>
          <w:szCs w:val="20"/>
        </w:rPr>
      </w:pPr>
      <w:r w:rsidRPr="002C656E">
        <w:rPr>
          <w:rFonts w:ascii="Arial" w:hAnsi="Arial" w:cs="Arial"/>
          <w:szCs w:val="20"/>
        </w:rPr>
        <w:lastRenderedPageBreak/>
        <w:t xml:space="preserve">Con un enfoque estratégico y una visión de largo plazo, Minsait y la INA están sentando las bases no solo para proteger la infraestructura tecnológica del sector automotriz, sino también </w:t>
      </w:r>
      <w:r w:rsidR="00416567">
        <w:rPr>
          <w:rFonts w:ascii="Arial" w:hAnsi="Arial" w:cs="Arial"/>
          <w:szCs w:val="20"/>
        </w:rPr>
        <w:t>abriendo</w:t>
      </w:r>
      <w:r w:rsidR="00416567" w:rsidRPr="002C656E">
        <w:rPr>
          <w:rFonts w:ascii="Arial" w:hAnsi="Arial" w:cs="Arial"/>
          <w:szCs w:val="20"/>
        </w:rPr>
        <w:t xml:space="preserve"> </w:t>
      </w:r>
      <w:r w:rsidRPr="002C656E">
        <w:rPr>
          <w:rFonts w:ascii="Arial" w:hAnsi="Arial" w:cs="Arial"/>
          <w:szCs w:val="20"/>
        </w:rPr>
        <w:t>nuevas oportunidades para una industria más competitiva, innovadora y resiliente.</w:t>
      </w:r>
    </w:p>
    <w:p w14:paraId="3322874C" w14:textId="77777777" w:rsidR="00077E9B" w:rsidRPr="00600373" w:rsidRDefault="00077E9B" w:rsidP="00077E9B">
      <w:pPr>
        <w:spacing w:after="0"/>
        <w:rPr>
          <w:rFonts w:ascii="Arial" w:hAnsi="Arial" w:cs="Arial"/>
          <w:sz w:val="18"/>
          <w:szCs w:val="18"/>
        </w:rPr>
      </w:pPr>
    </w:p>
    <w:p w14:paraId="4EAD2F46" w14:textId="77777777" w:rsidR="00077E9B" w:rsidRPr="00600373" w:rsidRDefault="00077E9B" w:rsidP="00077E9B">
      <w:pPr>
        <w:ind w:right="282"/>
        <w:rPr>
          <w:rFonts w:ascii="Arial" w:hAnsi="Arial" w:cs="Arial"/>
          <w:b/>
          <w:bCs/>
          <w:sz w:val="18"/>
          <w:szCs w:val="18"/>
        </w:rPr>
      </w:pPr>
      <w:r w:rsidRPr="00600373">
        <w:rPr>
          <w:rFonts w:ascii="Arial" w:hAnsi="Arial" w:cs="Arial"/>
          <w:b/>
          <w:bCs/>
          <w:sz w:val="18"/>
          <w:szCs w:val="18"/>
        </w:rPr>
        <w:t>Acerca de Minsait</w:t>
      </w:r>
    </w:p>
    <w:p w14:paraId="64FB60E7" w14:textId="6DA2EDB9" w:rsidR="00077E9B" w:rsidRPr="00600373" w:rsidRDefault="00077E9B" w:rsidP="00077E9B">
      <w:pPr>
        <w:ind w:right="282"/>
        <w:rPr>
          <w:rFonts w:ascii="Arial" w:hAnsi="Arial" w:cs="Arial"/>
          <w:noProof/>
          <w:sz w:val="18"/>
          <w:szCs w:val="18"/>
        </w:rPr>
      </w:pPr>
      <w:r w:rsidRPr="00600373">
        <w:rPr>
          <w:rFonts w:ascii="Arial" w:hAnsi="Arial" w:cs="Arial"/>
          <w:bCs/>
          <w:sz w:val="18"/>
          <w:szCs w:val="18"/>
        </w:rPr>
        <w:t>Minsait (</w:t>
      </w:r>
      <w:hyperlink r:id="rId11" w:history="1">
        <w:r w:rsidRPr="00600373">
          <w:rPr>
            <w:rStyle w:val="Hyperlink"/>
            <w:rFonts w:ascii="Arial" w:hAnsi="Arial" w:cs="Arial"/>
            <w:bCs/>
            <w:sz w:val="18"/>
            <w:szCs w:val="18"/>
          </w:rPr>
          <w:t>www.minsait.com</w:t>
        </w:r>
      </w:hyperlink>
      <w:r w:rsidRPr="00600373">
        <w:rPr>
          <w:rFonts w:ascii="Arial" w:hAnsi="Arial" w:cs="Arial"/>
          <w:bCs/>
          <w:sz w:val="18"/>
          <w:szCs w:val="18"/>
        </w:rPr>
        <w:t xml:space="preserve">) es la compañía del Grupo Indra líder en </w:t>
      </w:r>
      <w:r w:rsidR="00416567">
        <w:rPr>
          <w:rFonts w:ascii="Arial" w:hAnsi="Arial" w:cs="Arial"/>
          <w:bCs/>
          <w:sz w:val="18"/>
          <w:szCs w:val="18"/>
        </w:rPr>
        <w:t>digitalización y tecnologías disruptivas</w:t>
      </w:r>
      <w:r w:rsidRPr="00600373">
        <w:rPr>
          <w:rFonts w:ascii="Arial" w:hAnsi="Arial" w:cs="Arial"/>
          <w:bCs/>
          <w:sz w:val="18"/>
          <w:szCs w:val="18"/>
        </w:rPr>
        <w:t xml:space="preserve">. Presenta un alto grado de especialización, amplia experiencia en el negocio digital avanzado, conocimiento sectorial y un talento multidisciplinar formado por miles de profesionales en todo el mundo. Minsait está a la vanguardia de la nueva digitalización con capacidades avanzadas en inteligencia artificial, </w:t>
      </w:r>
      <w:proofErr w:type="spellStart"/>
      <w:r w:rsidRPr="00600373">
        <w:rPr>
          <w:rFonts w:ascii="Arial" w:hAnsi="Arial" w:cs="Arial"/>
          <w:bCs/>
          <w:sz w:val="18"/>
          <w:szCs w:val="18"/>
        </w:rPr>
        <w:t>cloud</w:t>
      </w:r>
      <w:proofErr w:type="spellEnd"/>
      <w:r w:rsidRPr="00600373">
        <w:rPr>
          <w:rFonts w:ascii="Arial" w:hAnsi="Arial" w:cs="Arial"/>
          <w:bCs/>
          <w:sz w:val="18"/>
          <w:szCs w:val="18"/>
        </w:rPr>
        <w:t xml:space="preserve">, ciberseguridad y otras tecnologías transformadoras. Con ello, impulsa los negocios y genera grandes impactos en la sociedad, gracias a una oferta digital de servicios de alto valor añadido, soluciones </w:t>
      </w:r>
      <w:r w:rsidR="00416567">
        <w:rPr>
          <w:rFonts w:ascii="Arial" w:hAnsi="Arial" w:cs="Arial"/>
          <w:bCs/>
          <w:sz w:val="18"/>
          <w:szCs w:val="18"/>
        </w:rPr>
        <w:t xml:space="preserve">conectadas </w:t>
      </w:r>
      <w:r w:rsidRPr="00600373">
        <w:rPr>
          <w:rFonts w:ascii="Arial" w:hAnsi="Arial" w:cs="Arial"/>
          <w:bCs/>
          <w:sz w:val="18"/>
          <w:szCs w:val="18"/>
        </w:rPr>
        <w:t>a medida para todos los ámbitos de actividad y acuerdos con los socios más relevantes del mercado.</w:t>
      </w:r>
    </w:p>
    <w:p w14:paraId="1AC15AE8" w14:textId="77777777" w:rsidR="00077E9B" w:rsidRPr="00600373" w:rsidRDefault="00077E9B" w:rsidP="00077E9B">
      <w:pPr>
        <w:ind w:right="282"/>
        <w:rPr>
          <w:rFonts w:ascii="Arial" w:hAnsi="Arial" w:cs="Arial"/>
          <w:b/>
          <w:bCs/>
          <w:sz w:val="18"/>
          <w:szCs w:val="18"/>
        </w:rPr>
      </w:pPr>
      <w:r w:rsidRPr="00600373">
        <w:rPr>
          <w:rFonts w:ascii="Arial" w:hAnsi="Arial" w:cs="Arial"/>
          <w:b/>
          <w:bCs/>
          <w:sz w:val="18"/>
          <w:szCs w:val="18"/>
        </w:rPr>
        <w:t>Acerca de Indra Group</w:t>
      </w:r>
    </w:p>
    <w:p w14:paraId="06C939B8" w14:textId="77777777" w:rsidR="00077E9B" w:rsidRPr="00600373" w:rsidRDefault="00077E9B" w:rsidP="00077E9B">
      <w:pPr>
        <w:ind w:right="282"/>
        <w:rPr>
          <w:rFonts w:ascii="Arial" w:hAnsi="Arial" w:cs="Arial"/>
          <w:noProof/>
          <w:sz w:val="18"/>
          <w:szCs w:val="18"/>
        </w:rPr>
      </w:pPr>
      <w:r w:rsidRPr="00600373">
        <w:rPr>
          <w:rFonts w:ascii="Arial" w:hAnsi="Arial" w:cs="Arial"/>
          <w:noProof/>
          <w:sz w:val="18"/>
          <w:szCs w:val="18"/>
        </w:rPr>
        <w:t>Indra Group (</w:t>
      </w:r>
      <w:hyperlink r:id="rId12" w:history="1">
        <w:r w:rsidRPr="00600373">
          <w:rPr>
            <w:rStyle w:val="Hyperlink"/>
            <w:rFonts w:ascii="Arial" w:hAnsi="Arial" w:cs="Arial"/>
            <w:noProof/>
            <w:sz w:val="18"/>
            <w:szCs w:val="18"/>
          </w:rPr>
          <w:t>www.indracompany.com</w:t>
        </w:r>
      </w:hyperlink>
      <w:r w:rsidRPr="00600373">
        <w:rPr>
          <w:rFonts w:ascii="Arial" w:hAnsi="Arial" w:cs="Arial"/>
          <w:noProof/>
          <w:sz w:val="18"/>
          <w:szCs w:val="18"/>
        </w:rPr>
        <w:t>)  es un holding empresarial que promueve el progreso tecnológico, del que forman parte Indra, una de las principales compañías globales de defensa, tráfico aéreo y espacio; y Minsait, líder en transformación digital y tecnologías de la información en España y Latinoamérica. Indra Group impulsa un futuro más seguro y conectado a través de soluciones innovadoras, relaciones de confianza y el mejor talento. La sostenibilidad forma parte de su estrategia y de su cultura, para dar respuesta a los retos sociales y ambientales presentes y futuros. A cierre del ejercicio 202</w:t>
      </w:r>
      <w:r>
        <w:rPr>
          <w:rFonts w:ascii="Arial" w:hAnsi="Arial" w:cs="Arial"/>
          <w:noProof/>
          <w:sz w:val="18"/>
          <w:szCs w:val="18"/>
        </w:rPr>
        <w:t>4</w:t>
      </w:r>
      <w:r w:rsidRPr="00600373">
        <w:rPr>
          <w:rFonts w:ascii="Arial" w:hAnsi="Arial" w:cs="Arial"/>
          <w:noProof/>
          <w:sz w:val="18"/>
          <w:szCs w:val="18"/>
        </w:rPr>
        <w:t>, Indra Group tuvo unos ingresos de 4.</w:t>
      </w:r>
      <w:r>
        <w:rPr>
          <w:rFonts w:ascii="Arial" w:hAnsi="Arial" w:cs="Arial"/>
          <w:noProof/>
          <w:sz w:val="18"/>
          <w:szCs w:val="18"/>
        </w:rPr>
        <w:t>8</w:t>
      </w:r>
      <w:r w:rsidRPr="00600373">
        <w:rPr>
          <w:rFonts w:ascii="Arial" w:hAnsi="Arial" w:cs="Arial"/>
          <w:noProof/>
          <w:sz w:val="18"/>
          <w:szCs w:val="18"/>
        </w:rPr>
        <w:t>43 millones de euros, presencia local en 4</w:t>
      </w:r>
      <w:r>
        <w:rPr>
          <w:rFonts w:ascii="Arial" w:hAnsi="Arial" w:cs="Arial"/>
          <w:noProof/>
          <w:sz w:val="18"/>
          <w:szCs w:val="18"/>
        </w:rPr>
        <w:t>9</w:t>
      </w:r>
      <w:r w:rsidRPr="00600373">
        <w:rPr>
          <w:rFonts w:ascii="Arial" w:hAnsi="Arial" w:cs="Arial"/>
          <w:noProof/>
          <w:sz w:val="18"/>
          <w:szCs w:val="18"/>
        </w:rPr>
        <w:t xml:space="preserve"> países y operaciones comerciales en más de 140 países.</w:t>
      </w:r>
    </w:p>
    <w:p w14:paraId="70B80D99" w14:textId="77777777" w:rsidR="00077E9B" w:rsidRPr="00600373" w:rsidRDefault="00077E9B" w:rsidP="00077E9B">
      <w:pPr>
        <w:spacing w:after="0"/>
      </w:pPr>
    </w:p>
    <w:p w14:paraId="35E8C02B" w14:textId="77777777" w:rsidR="00077E9B" w:rsidRPr="00077E9B" w:rsidRDefault="00077E9B" w:rsidP="00077E9B">
      <w:pPr>
        <w:rPr>
          <w:noProof/>
          <w:sz w:val="18"/>
          <w:szCs w:val="22"/>
          <w:u w:val="single"/>
        </w:rPr>
      </w:pPr>
      <w:r w:rsidRPr="00077E9B">
        <w:rPr>
          <w:noProof/>
          <w:sz w:val="18"/>
          <w:szCs w:val="22"/>
          <w:u w:val="single"/>
        </w:rPr>
        <w:t>Contacto de Comunicación</w:t>
      </w:r>
    </w:p>
    <w:p w14:paraId="3D20FB47" w14:textId="77777777" w:rsidR="00077E9B" w:rsidRPr="00077E9B" w:rsidRDefault="00077E9B" w:rsidP="00077E9B">
      <w:pPr>
        <w:spacing w:before="0" w:after="0"/>
        <w:rPr>
          <w:b/>
          <w:bCs/>
          <w:noProof/>
          <w:sz w:val="18"/>
          <w:szCs w:val="18"/>
        </w:rPr>
      </w:pPr>
      <w:r w:rsidRPr="00077E9B">
        <w:rPr>
          <w:b/>
          <w:bCs/>
          <w:noProof/>
          <w:sz w:val="18"/>
          <w:szCs w:val="18"/>
        </w:rPr>
        <w:t xml:space="preserve">Karla Zepeda </w:t>
      </w:r>
    </w:p>
    <w:p w14:paraId="35549B79" w14:textId="77777777" w:rsidR="00077E9B" w:rsidRPr="00077E9B" w:rsidRDefault="00077E9B" w:rsidP="00077E9B">
      <w:pPr>
        <w:spacing w:before="0" w:after="0"/>
      </w:pPr>
      <w:r w:rsidRPr="00077E9B">
        <w:rPr>
          <w:b/>
          <w:bCs/>
          <w:noProof/>
          <w:sz w:val="18"/>
          <w:szCs w:val="18"/>
        </w:rPr>
        <w:t xml:space="preserve">kzepeda@minsait.com </w:t>
      </w:r>
    </w:p>
    <w:p w14:paraId="09DD5225" w14:textId="77777777" w:rsidR="00077E9B" w:rsidRPr="00077E9B" w:rsidRDefault="00077E9B" w:rsidP="00077E9B">
      <w:pPr>
        <w:spacing w:before="0" w:after="0"/>
      </w:pPr>
      <w:r w:rsidRPr="00077E9B">
        <w:rPr>
          <w:b/>
          <w:bCs/>
          <w:noProof/>
          <w:sz w:val="18"/>
          <w:szCs w:val="18"/>
        </w:rPr>
        <w:t>+52 55 5072 8304</w:t>
      </w:r>
    </w:p>
    <w:p w14:paraId="621F57BA" w14:textId="77777777" w:rsidR="00077E9B" w:rsidRDefault="00077E9B" w:rsidP="006337A4">
      <w:pPr>
        <w:rPr>
          <w:noProof/>
        </w:rPr>
      </w:pPr>
    </w:p>
    <w:sectPr w:rsidR="00077E9B" w:rsidSect="00D467D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84" w:right="851" w:bottom="1560" w:left="1134" w:header="709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1EE3F" w14:textId="77777777" w:rsidR="00B926C3" w:rsidRDefault="00B926C3" w:rsidP="00544EF6">
      <w:pPr>
        <w:spacing w:before="0"/>
      </w:pPr>
      <w:r>
        <w:separator/>
      </w:r>
    </w:p>
  </w:endnote>
  <w:endnote w:type="continuationSeparator" w:id="0">
    <w:p w14:paraId="0ECE360C" w14:textId="77777777" w:rsidR="00B926C3" w:rsidRDefault="00B926C3" w:rsidP="00544EF6">
      <w:pPr>
        <w:spacing w:before="0"/>
      </w:pPr>
      <w:r>
        <w:continuationSeparator/>
      </w:r>
    </w:p>
  </w:endnote>
  <w:endnote w:type="continuationNotice" w:id="1">
    <w:p w14:paraId="3EDAA35D" w14:textId="77777777" w:rsidR="00B926C3" w:rsidRDefault="00B926C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orFuture Sans">
    <w:altName w:val="Calibri"/>
    <w:panose1 w:val="020B0604020202020204"/>
    <w:charset w:val="4D"/>
    <w:family w:val="swiss"/>
    <w:notTrueType/>
    <w:pitch w:val="variable"/>
    <w:sig w:usb0="A000006F" w:usb1="0000C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B5398" w14:textId="77777777" w:rsidR="00E07C92" w:rsidRPr="00E07C92" w:rsidRDefault="00E07C92">
    <w:pPr>
      <w:pStyle w:val="Footer"/>
      <w:rPr>
        <w:sz w:val="18"/>
        <w:szCs w:val="28"/>
      </w:rPr>
    </w:pPr>
    <w:r w:rsidRPr="00E07C92">
      <w:rPr>
        <w:sz w:val="18"/>
        <w:szCs w:val="28"/>
      </w:rPr>
      <w:t>Comunicación y Relaciones con los Medios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942C0" w14:textId="77777777" w:rsidR="00431B11" w:rsidRPr="00320E12" w:rsidRDefault="00431B11" w:rsidP="00544EF6">
    <w:pPr>
      <w:pStyle w:val="Header"/>
      <w:jc w:val="left"/>
      <w:rPr>
        <w:sz w:val="16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6CDCD" w14:textId="77777777" w:rsidR="00B926C3" w:rsidRDefault="00B926C3" w:rsidP="00544EF6">
      <w:pPr>
        <w:spacing w:before="0"/>
      </w:pPr>
      <w:r>
        <w:separator/>
      </w:r>
    </w:p>
  </w:footnote>
  <w:footnote w:type="continuationSeparator" w:id="0">
    <w:p w14:paraId="2FFB1645" w14:textId="77777777" w:rsidR="00B926C3" w:rsidRDefault="00B926C3" w:rsidP="00544EF6">
      <w:pPr>
        <w:spacing w:before="0"/>
      </w:pPr>
      <w:r>
        <w:continuationSeparator/>
      </w:r>
    </w:p>
  </w:footnote>
  <w:footnote w:type="continuationNotice" w:id="1">
    <w:p w14:paraId="599146C7" w14:textId="77777777" w:rsidR="00B926C3" w:rsidRDefault="00B926C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7"/>
      <w:gridCol w:w="3306"/>
      <w:gridCol w:w="3308"/>
    </w:tblGrid>
    <w:tr w:rsidR="00A67B89" w14:paraId="5EA0CCA9" w14:textId="77777777" w:rsidTr="00A67B89">
      <w:trPr>
        <w:trHeight w:val="1"/>
      </w:trPr>
      <w:tc>
        <w:tcPr>
          <w:tcW w:w="1667" w:type="pct"/>
          <w:tcBorders>
            <w:top w:val="nil"/>
            <w:left w:val="nil"/>
            <w:bottom w:val="nil"/>
            <w:right w:val="nil"/>
          </w:tcBorders>
        </w:tcPr>
        <w:p w14:paraId="07A87944" w14:textId="77777777" w:rsidR="00A67B89" w:rsidRDefault="00521F02" w:rsidP="00A67B89">
          <w:pPr>
            <w:spacing w:before="160"/>
          </w:pPr>
          <w:r w:rsidRPr="00FA3670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 wp14:anchorId="5A8192B7" wp14:editId="37E65E68">
                    <wp:extent cx="2009140" cy="191135"/>
                    <wp:effectExtent l="0" t="0" r="0" b="0"/>
                    <wp:docPr id="106240771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2009140" cy="191135"/>
                              <a:chOff x="0" y="0"/>
                              <a:chExt cx="6318" cy="602"/>
                            </a:xfrm>
                            <a:solidFill>
                              <a:srgbClr val="4F062A"/>
                            </a:solidFill>
                          </wpg:grpSpPr>
                          <wps:wsp>
                            <wps:cNvPr id="781645292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0" y="346"/>
                                <a:ext cx="1122" cy="256"/>
                              </a:xfrm>
                              <a:custGeom>
                                <a:avLst/>
                                <a:gdLst>
                                  <a:gd name="T0" fmla="*/ 0 w 1126"/>
                                  <a:gd name="T1" fmla="*/ 248 h 257"/>
                                  <a:gd name="T2" fmla="*/ 33 w 1126"/>
                                  <a:gd name="T3" fmla="*/ 257 h 257"/>
                                  <a:gd name="T4" fmla="*/ 563 w 1126"/>
                                  <a:gd name="T5" fmla="*/ 124 h 257"/>
                                  <a:gd name="T6" fmla="*/ 1093 w 1126"/>
                                  <a:gd name="T7" fmla="*/ 257 h 257"/>
                                  <a:gd name="T8" fmla="*/ 1126 w 1126"/>
                                  <a:gd name="T9" fmla="*/ 248 h 257"/>
                                  <a:gd name="T10" fmla="*/ 563 w 1126"/>
                                  <a:gd name="T11" fmla="*/ 0 h 257"/>
                                  <a:gd name="T12" fmla="*/ 0 w 1126"/>
                                  <a:gd name="T13" fmla="*/ 248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6" h="257">
                                    <a:moveTo>
                                      <a:pt x="0" y="248"/>
                                    </a:moveTo>
                                    <a:cubicBezTo>
                                      <a:pt x="33" y="257"/>
                                      <a:pt x="33" y="257"/>
                                      <a:pt x="33" y="257"/>
                                    </a:cubicBezTo>
                                    <a:cubicBezTo>
                                      <a:pt x="33" y="257"/>
                                      <a:pt x="439" y="133"/>
                                      <a:pt x="563" y="124"/>
                                    </a:cubicBezTo>
                                    <a:cubicBezTo>
                                      <a:pt x="687" y="133"/>
                                      <a:pt x="1093" y="257"/>
                                      <a:pt x="1093" y="257"/>
                                    </a:cubicBezTo>
                                    <a:cubicBezTo>
                                      <a:pt x="1126" y="248"/>
                                      <a:pt x="1126" y="248"/>
                                      <a:pt x="1126" y="248"/>
                                    </a:cubicBezTo>
                                    <a:cubicBezTo>
                                      <a:pt x="1126" y="248"/>
                                      <a:pt x="773" y="5"/>
                                      <a:pt x="563" y="0"/>
                                    </a:cubicBezTo>
                                    <a:cubicBezTo>
                                      <a:pt x="353" y="5"/>
                                      <a:pt x="0" y="248"/>
                                      <a:pt x="0" y="248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47630550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2" cy="256"/>
                              </a:xfrm>
                              <a:custGeom>
                                <a:avLst/>
                                <a:gdLst>
                                  <a:gd name="T0" fmla="*/ 1126 w 1126"/>
                                  <a:gd name="T1" fmla="*/ 9 h 257"/>
                                  <a:gd name="T2" fmla="*/ 1093 w 1126"/>
                                  <a:gd name="T3" fmla="*/ 0 h 257"/>
                                  <a:gd name="T4" fmla="*/ 563 w 1126"/>
                                  <a:gd name="T5" fmla="*/ 133 h 257"/>
                                  <a:gd name="T6" fmla="*/ 33 w 1126"/>
                                  <a:gd name="T7" fmla="*/ 0 h 257"/>
                                  <a:gd name="T8" fmla="*/ 0 w 1126"/>
                                  <a:gd name="T9" fmla="*/ 9 h 257"/>
                                  <a:gd name="T10" fmla="*/ 563 w 1126"/>
                                  <a:gd name="T11" fmla="*/ 257 h 257"/>
                                  <a:gd name="T12" fmla="*/ 1126 w 1126"/>
                                  <a:gd name="T13" fmla="*/ 9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6" h="257">
                                    <a:moveTo>
                                      <a:pt x="1126" y="9"/>
                                    </a:moveTo>
                                    <a:cubicBezTo>
                                      <a:pt x="1093" y="0"/>
                                      <a:pt x="1093" y="0"/>
                                      <a:pt x="1093" y="0"/>
                                    </a:cubicBezTo>
                                    <a:cubicBezTo>
                                      <a:pt x="1093" y="0"/>
                                      <a:pt x="687" y="124"/>
                                      <a:pt x="563" y="133"/>
                                    </a:cubicBezTo>
                                    <a:cubicBezTo>
                                      <a:pt x="439" y="124"/>
                                      <a:pt x="33" y="0"/>
                                      <a:pt x="33" y="0"/>
                                    </a:cubicBezTo>
                                    <a:cubicBezTo>
                                      <a:pt x="0" y="9"/>
                                      <a:pt x="0" y="9"/>
                                      <a:pt x="0" y="9"/>
                                    </a:cubicBezTo>
                                    <a:cubicBezTo>
                                      <a:pt x="0" y="9"/>
                                      <a:pt x="353" y="252"/>
                                      <a:pt x="563" y="257"/>
                                    </a:cubicBezTo>
                                    <a:cubicBezTo>
                                      <a:pt x="773" y="252"/>
                                      <a:pt x="1126" y="9"/>
                                      <a:pt x="1126" y="9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31390086" name="Freeform 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436" y="37"/>
                                <a:ext cx="4882" cy="542"/>
                              </a:xfrm>
                              <a:custGeom>
                                <a:avLst/>
                                <a:gdLst>
                                  <a:gd name="T0" fmla="*/ 145 w 4897"/>
                                  <a:gd name="T1" fmla="*/ 121 h 544"/>
                                  <a:gd name="T2" fmla="*/ 0 w 4897"/>
                                  <a:gd name="T3" fmla="*/ 544 h 544"/>
                                  <a:gd name="T4" fmla="*/ 267 w 4897"/>
                                  <a:gd name="T5" fmla="*/ 0 h 544"/>
                                  <a:gd name="T6" fmla="*/ 445 w 4897"/>
                                  <a:gd name="T7" fmla="*/ 312 h 544"/>
                                  <a:gd name="T8" fmla="*/ 842 w 4897"/>
                                  <a:gd name="T9" fmla="*/ 0 h 544"/>
                                  <a:gd name="T10" fmla="*/ 698 w 4897"/>
                                  <a:gd name="T11" fmla="*/ 544 h 544"/>
                                  <a:gd name="T12" fmla="*/ 667 w 4897"/>
                                  <a:gd name="T13" fmla="*/ 121 h 544"/>
                                  <a:gd name="T14" fmla="*/ 313 w 4897"/>
                                  <a:gd name="T15" fmla="*/ 433 h 544"/>
                                  <a:gd name="T16" fmla="*/ 1014 w 4897"/>
                                  <a:gd name="T17" fmla="*/ 0 h 544"/>
                                  <a:gd name="T18" fmla="*/ 1158 w 4897"/>
                                  <a:gd name="T19" fmla="*/ 544 h 544"/>
                                  <a:gd name="T20" fmla="*/ 1014 w 4897"/>
                                  <a:gd name="T21" fmla="*/ 0 h 544"/>
                                  <a:gd name="T22" fmla="*/ 1588 w 4897"/>
                                  <a:gd name="T23" fmla="*/ 0 h 544"/>
                                  <a:gd name="T24" fmla="*/ 1903 w 4897"/>
                                  <a:gd name="T25" fmla="*/ 423 h 544"/>
                                  <a:gd name="T26" fmla="*/ 2047 w 4897"/>
                                  <a:gd name="T27" fmla="*/ 0 h 544"/>
                                  <a:gd name="T28" fmla="*/ 1788 w 4897"/>
                                  <a:gd name="T29" fmla="*/ 544 h 544"/>
                                  <a:gd name="T30" fmla="*/ 1474 w 4897"/>
                                  <a:gd name="T31" fmla="*/ 121 h 544"/>
                                  <a:gd name="T32" fmla="*/ 1329 w 4897"/>
                                  <a:gd name="T33" fmla="*/ 544 h 544"/>
                                  <a:gd name="T34" fmla="*/ 2203 w 4897"/>
                                  <a:gd name="T35" fmla="*/ 544 h 544"/>
                                  <a:gd name="T36" fmla="*/ 2714 w 4897"/>
                                  <a:gd name="T37" fmla="*/ 423 h 544"/>
                                  <a:gd name="T38" fmla="*/ 2714 w 4897"/>
                                  <a:gd name="T39" fmla="*/ 328 h 544"/>
                                  <a:gd name="T40" fmla="*/ 2187 w 4897"/>
                                  <a:gd name="T41" fmla="*/ 164 h 544"/>
                                  <a:gd name="T42" fmla="*/ 2871 w 4897"/>
                                  <a:gd name="T43" fmla="*/ 0 h 544"/>
                                  <a:gd name="T44" fmla="*/ 2371 w 4897"/>
                                  <a:gd name="T45" fmla="*/ 121 h 544"/>
                                  <a:gd name="T46" fmla="*/ 2371 w 4897"/>
                                  <a:gd name="T47" fmla="*/ 207 h 544"/>
                                  <a:gd name="T48" fmla="*/ 2902 w 4897"/>
                                  <a:gd name="T49" fmla="*/ 376 h 544"/>
                                  <a:gd name="T50" fmla="*/ 2203 w 4897"/>
                                  <a:gd name="T51" fmla="*/ 544 h 544"/>
                                  <a:gd name="T52" fmla="*/ 3288 w 4897"/>
                                  <a:gd name="T53" fmla="*/ 0 h 544"/>
                                  <a:gd name="T54" fmla="*/ 3818 w 4897"/>
                                  <a:gd name="T55" fmla="*/ 541 h 544"/>
                                  <a:gd name="T56" fmla="*/ 3657 w 4897"/>
                                  <a:gd name="T57" fmla="*/ 544 h 544"/>
                                  <a:gd name="T58" fmla="*/ 3183 w 4897"/>
                                  <a:gd name="T59" fmla="*/ 443 h 544"/>
                                  <a:gd name="T60" fmla="*/ 2964 w 4897"/>
                                  <a:gd name="T61" fmla="*/ 544 h 544"/>
                                  <a:gd name="T62" fmla="*/ 3529 w 4897"/>
                                  <a:gd name="T63" fmla="*/ 322 h 544"/>
                                  <a:gd name="T64" fmla="*/ 3367 w 4897"/>
                                  <a:gd name="T65" fmla="*/ 121 h 544"/>
                                  <a:gd name="T66" fmla="*/ 3529 w 4897"/>
                                  <a:gd name="T67" fmla="*/ 322 h 544"/>
                                  <a:gd name="T68" fmla="*/ 4076 w 4897"/>
                                  <a:gd name="T69" fmla="*/ 0 h 544"/>
                                  <a:gd name="T70" fmla="*/ 3931 w 4897"/>
                                  <a:gd name="T71" fmla="*/ 544 h 544"/>
                                  <a:gd name="T72" fmla="*/ 4475 w 4897"/>
                                  <a:gd name="T73" fmla="*/ 121 h 544"/>
                                  <a:gd name="T74" fmla="*/ 4197 w 4897"/>
                                  <a:gd name="T75" fmla="*/ 0 h 544"/>
                                  <a:gd name="T76" fmla="*/ 4897 w 4897"/>
                                  <a:gd name="T77" fmla="*/ 121 h 544"/>
                                  <a:gd name="T78" fmla="*/ 4619 w 4897"/>
                                  <a:gd name="T79" fmla="*/ 544 h 544"/>
                                  <a:gd name="T80" fmla="*/ 4475 w 4897"/>
                                  <a:gd name="T81" fmla="*/ 121 h 5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4897" h="544">
                                    <a:moveTo>
                                      <a:pt x="176" y="121"/>
                                    </a:moveTo>
                                    <a:cubicBezTo>
                                      <a:pt x="145" y="121"/>
                                      <a:pt x="145" y="121"/>
                                      <a:pt x="145" y="121"/>
                                    </a:cubicBezTo>
                                    <a:cubicBezTo>
                                      <a:pt x="145" y="544"/>
                                      <a:pt x="145" y="544"/>
                                      <a:pt x="145" y="544"/>
                                    </a:cubicBezTo>
                                    <a:cubicBezTo>
                                      <a:pt x="0" y="544"/>
                                      <a:pt x="0" y="544"/>
                                      <a:pt x="0" y="544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67" y="0"/>
                                      <a:pt x="267" y="0"/>
                                      <a:pt x="267" y="0"/>
                                    </a:cubicBezTo>
                                    <a:cubicBezTo>
                                      <a:pt x="398" y="312"/>
                                      <a:pt x="398" y="312"/>
                                      <a:pt x="398" y="312"/>
                                    </a:cubicBezTo>
                                    <a:cubicBezTo>
                                      <a:pt x="445" y="312"/>
                                      <a:pt x="445" y="312"/>
                                      <a:pt x="445" y="312"/>
                                    </a:cubicBezTo>
                                    <a:cubicBezTo>
                                      <a:pt x="576" y="0"/>
                                      <a:pt x="576" y="0"/>
                                      <a:pt x="576" y="0"/>
                                    </a:cubicBezTo>
                                    <a:cubicBezTo>
                                      <a:pt x="842" y="0"/>
                                      <a:pt x="842" y="0"/>
                                      <a:pt x="842" y="0"/>
                                    </a:cubicBezTo>
                                    <a:cubicBezTo>
                                      <a:pt x="842" y="544"/>
                                      <a:pt x="842" y="544"/>
                                      <a:pt x="842" y="544"/>
                                    </a:cubicBezTo>
                                    <a:cubicBezTo>
                                      <a:pt x="698" y="544"/>
                                      <a:pt x="698" y="544"/>
                                      <a:pt x="698" y="544"/>
                                    </a:cubicBezTo>
                                    <a:cubicBezTo>
                                      <a:pt x="698" y="121"/>
                                      <a:pt x="698" y="121"/>
                                      <a:pt x="698" y="121"/>
                                    </a:cubicBezTo>
                                    <a:cubicBezTo>
                                      <a:pt x="667" y="121"/>
                                      <a:pt x="667" y="121"/>
                                      <a:pt x="667" y="121"/>
                                    </a:cubicBezTo>
                                    <a:cubicBezTo>
                                      <a:pt x="530" y="433"/>
                                      <a:pt x="530" y="433"/>
                                      <a:pt x="530" y="433"/>
                                    </a:cubicBezTo>
                                    <a:cubicBezTo>
                                      <a:pt x="313" y="433"/>
                                      <a:pt x="313" y="433"/>
                                      <a:pt x="313" y="433"/>
                                    </a:cubicBezTo>
                                    <a:lnTo>
                                      <a:pt x="176" y="121"/>
                                    </a:lnTo>
                                    <a:close/>
                                    <a:moveTo>
                                      <a:pt x="1014" y="0"/>
                                    </a:moveTo>
                                    <a:cubicBezTo>
                                      <a:pt x="1158" y="0"/>
                                      <a:pt x="1158" y="0"/>
                                      <a:pt x="1158" y="0"/>
                                    </a:cubicBezTo>
                                    <a:cubicBezTo>
                                      <a:pt x="1158" y="544"/>
                                      <a:pt x="1158" y="544"/>
                                      <a:pt x="1158" y="544"/>
                                    </a:cubicBezTo>
                                    <a:cubicBezTo>
                                      <a:pt x="1014" y="544"/>
                                      <a:pt x="1014" y="544"/>
                                      <a:pt x="1014" y="544"/>
                                    </a:cubicBezTo>
                                    <a:lnTo>
                                      <a:pt x="1014" y="0"/>
                                    </a:lnTo>
                                    <a:close/>
                                    <a:moveTo>
                                      <a:pt x="1329" y="0"/>
                                    </a:moveTo>
                                    <a:cubicBezTo>
                                      <a:pt x="1588" y="0"/>
                                      <a:pt x="1588" y="0"/>
                                      <a:pt x="1588" y="0"/>
                                    </a:cubicBezTo>
                                    <a:cubicBezTo>
                                      <a:pt x="1871" y="423"/>
                                      <a:pt x="1871" y="423"/>
                                      <a:pt x="1871" y="423"/>
                                    </a:cubicBezTo>
                                    <a:cubicBezTo>
                                      <a:pt x="1903" y="423"/>
                                      <a:pt x="1903" y="423"/>
                                      <a:pt x="1903" y="423"/>
                                    </a:cubicBezTo>
                                    <a:cubicBezTo>
                                      <a:pt x="1903" y="0"/>
                                      <a:pt x="1903" y="0"/>
                                      <a:pt x="1903" y="0"/>
                                    </a:cubicBezTo>
                                    <a:cubicBezTo>
                                      <a:pt x="2047" y="0"/>
                                      <a:pt x="2047" y="0"/>
                                      <a:pt x="2047" y="0"/>
                                    </a:cubicBezTo>
                                    <a:cubicBezTo>
                                      <a:pt x="2047" y="544"/>
                                      <a:pt x="2047" y="544"/>
                                      <a:pt x="2047" y="544"/>
                                    </a:cubicBezTo>
                                    <a:cubicBezTo>
                                      <a:pt x="1788" y="544"/>
                                      <a:pt x="1788" y="544"/>
                                      <a:pt x="1788" y="544"/>
                                    </a:cubicBezTo>
                                    <a:cubicBezTo>
                                      <a:pt x="1505" y="121"/>
                                      <a:pt x="1505" y="121"/>
                                      <a:pt x="1505" y="121"/>
                                    </a:cubicBezTo>
                                    <a:cubicBezTo>
                                      <a:pt x="1474" y="121"/>
                                      <a:pt x="1474" y="121"/>
                                      <a:pt x="1474" y="121"/>
                                    </a:cubicBezTo>
                                    <a:cubicBezTo>
                                      <a:pt x="1474" y="544"/>
                                      <a:pt x="1474" y="544"/>
                                      <a:pt x="1474" y="544"/>
                                    </a:cubicBezTo>
                                    <a:cubicBezTo>
                                      <a:pt x="1329" y="544"/>
                                      <a:pt x="1329" y="544"/>
                                      <a:pt x="1329" y="544"/>
                                    </a:cubicBezTo>
                                    <a:lnTo>
                                      <a:pt x="1329" y="0"/>
                                    </a:lnTo>
                                    <a:close/>
                                    <a:moveTo>
                                      <a:pt x="2203" y="544"/>
                                    </a:moveTo>
                                    <a:cubicBezTo>
                                      <a:pt x="2203" y="423"/>
                                      <a:pt x="2203" y="423"/>
                                      <a:pt x="2203" y="423"/>
                                    </a:cubicBezTo>
                                    <a:cubicBezTo>
                                      <a:pt x="2714" y="423"/>
                                      <a:pt x="2714" y="423"/>
                                      <a:pt x="2714" y="423"/>
                                    </a:cubicBezTo>
                                    <a:cubicBezTo>
                                      <a:pt x="2744" y="423"/>
                                      <a:pt x="2761" y="406"/>
                                      <a:pt x="2761" y="376"/>
                                    </a:cubicBezTo>
                                    <a:cubicBezTo>
                                      <a:pt x="2761" y="345"/>
                                      <a:pt x="2744" y="328"/>
                                      <a:pt x="2714" y="328"/>
                                    </a:cubicBezTo>
                                    <a:cubicBezTo>
                                      <a:pt x="2371" y="328"/>
                                      <a:pt x="2371" y="328"/>
                                      <a:pt x="2371" y="328"/>
                                    </a:cubicBezTo>
                                    <a:cubicBezTo>
                                      <a:pt x="2256" y="328"/>
                                      <a:pt x="2187" y="267"/>
                                      <a:pt x="2187" y="164"/>
                                    </a:cubicBezTo>
                                    <a:cubicBezTo>
                                      <a:pt x="2187" y="61"/>
                                      <a:pt x="2256" y="0"/>
                                      <a:pt x="2371" y="0"/>
                                    </a:cubicBezTo>
                                    <a:cubicBezTo>
                                      <a:pt x="2871" y="0"/>
                                      <a:pt x="2871" y="0"/>
                                      <a:pt x="2871" y="0"/>
                                    </a:cubicBezTo>
                                    <a:cubicBezTo>
                                      <a:pt x="2871" y="121"/>
                                      <a:pt x="2871" y="121"/>
                                      <a:pt x="2871" y="121"/>
                                    </a:cubicBezTo>
                                    <a:cubicBezTo>
                                      <a:pt x="2371" y="121"/>
                                      <a:pt x="2371" y="121"/>
                                      <a:pt x="2371" y="121"/>
                                    </a:cubicBezTo>
                                    <a:cubicBezTo>
                                      <a:pt x="2344" y="121"/>
                                      <a:pt x="2328" y="137"/>
                                      <a:pt x="2328" y="164"/>
                                    </a:cubicBezTo>
                                    <a:cubicBezTo>
                                      <a:pt x="2328" y="191"/>
                                      <a:pt x="2344" y="207"/>
                                      <a:pt x="2371" y="207"/>
                                    </a:cubicBezTo>
                                    <a:cubicBezTo>
                                      <a:pt x="2714" y="207"/>
                                      <a:pt x="2714" y="207"/>
                                      <a:pt x="2714" y="207"/>
                                    </a:cubicBezTo>
                                    <a:cubicBezTo>
                                      <a:pt x="2832" y="207"/>
                                      <a:pt x="2902" y="270"/>
                                      <a:pt x="2902" y="376"/>
                                    </a:cubicBezTo>
                                    <a:cubicBezTo>
                                      <a:pt x="2902" y="481"/>
                                      <a:pt x="2832" y="544"/>
                                      <a:pt x="2714" y="544"/>
                                    </a:cubicBezTo>
                                    <a:lnTo>
                                      <a:pt x="2203" y="544"/>
                                    </a:lnTo>
                                    <a:close/>
                                    <a:moveTo>
                                      <a:pt x="2964" y="541"/>
                                    </a:moveTo>
                                    <a:cubicBezTo>
                                      <a:pt x="3288" y="0"/>
                                      <a:pt x="3288" y="0"/>
                                      <a:pt x="3288" y="0"/>
                                    </a:cubicBezTo>
                                    <a:cubicBezTo>
                                      <a:pt x="3493" y="0"/>
                                      <a:pt x="3493" y="0"/>
                                      <a:pt x="3493" y="0"/>
                                    </a:cubicBezTo>
                                    <a:cubicBezTo>
                                      <a:pt x="3818" y="541"/>
                                      <a:pt x="3818" y="541"/>
                                      <a:pt x="3818" y="541"/>
                                    </a:cubicBezTo>
                                    <a:cubicBezTo>
                                      <a:pt x="3818" y="544"/>
                                      <a:pt x="3818" y="544"/>
                                      <a:pt x="3818" y="544"/>
                                    </a:cubicBezTo>
                                    <a:cubicBezTo>
                                      <a:pt x="3657" y="544"/>
                                      <a:pt x="3657" y="544"/>
                                      <a:pt x="3657" y="544"/>
                                    </a:cubicBezTo>
                                    <a:cubicBezTo>
                                      <a:pt x="3598" y="443"/>
                                      <a:pt x="3598" y="443"/>
                                      <a:pt x="3598" y="443"/>
                                    </a:cubicBezTo>
                                    <a:cubicBezTo>
                                      <a:pt x="3183" y="443"/>
                                      <a:pt x="3183" y="443"/>
                                      <a:pt x="3183" y="443"/>
                                    </a:cubicBezTo>
                                    <a:cubicBezTo>
                                      <a:pt x="3125" y="544"/>
                                      <a:pt x="3125" y="544"/>
                                      <a:pt x="3125" y="544"/>
                                    </a:cubicBezTo>
                                    <a:cubicBezTo>
                                      <a:pt x="2964" y="544"/>
                                      <a:pt x="2964" y="544"/>
                                      <a:pt x="2964" y="544"/>
                                    </a:cubicBezTo>
                                    <a:lnTo>
                                      <a:pt x="2964" y="541"/>
                                    </a:lnTo>
                                    <a:close/>
                                    <a:moveTo>
                                      <a:pt x="3529" y="322"/>
                                    </a:moveTo>
                                    <a:cubicBezTo>
                                      <a:pt x="3414" y="121"/>
                                      <a:pt x="3414" y="121"/>
                                      <a:pt x="3414" y="121"/>
                                    </a:cubicBezTo>
                                    <a:cubicBezTo>
                                      <a:pt x="3367" y="121"/>
                                      <a:pt x="3367" y="121"/>
                                      <a:pt x="3367" y="121"/>
                                    </a:cubicBezTo>
                                    <a:cubicBezTo>
                                      <a:pt x="3252" y="322"/>
                                      <a:pt x="3252" y="322"/>
                                      <a:pt x="3252" y="322"/>
                                    </a:cubicBezTo>
                                    <a:lnTo>
                                      <a:pt x="3529" y="322"/>
                                    </a:lnTo>
                                    <a:close/>
                                    <a:moveTo>
                                      <a:pt x="3931" y="0"/>
                                    </a:moveTo>
                                    <a:cubicBezTo>
                                      <a:pt x="4076" y="0"/>
                                      <a:pt x="4076" y="0"/>
                                      <a:pt x="4076" y="0"/>
                                    </a:cubicBezTo>
                                    <a:cubicBezTo>
                                      <a:pt x="4076" y="544"/>
                                      <a:pt x="4076" y="544"/>
                                      <a:pt x="4076" y="544"/>
                                    </a:cubicBezTo>
                                    <a:cubicBezTo>
                                      <a:pt x="3931" y="544"/>
                                      <a:pt x="3931" y="544"/>
                                      <a:pt x="3931" y="544"/>
                                    </a:cubicBezTo>
                                    <a:lnTo>
                                      <a:pt x="3931" y="0"/>
                                    </a:lnTo>
                                    <a:close/>
                                    <a:moveTo>
                                      <a:pt x="4475" y="121"/>
                                    </a:moveTo>
                                    <a:cubicBezTo>
                                      <a:pt x="4197" y="121"/>
                                      <a:pt x="4197" y="121"/>
                                      <a:pt x="4197" y="121"/>
                                    </a:cubicBezTo>
                                    <a:cubicBezTo>
                                      <a:pt x="4197" y="0"/>
                                      <a:pt x="4197" y="0"/>
                                      <a:pt x="4197" y="0"/>
                                    </a:cubicBezTo>
                                    <a:cubicBezTo>
                                      <a:pt x="4897" y="0"/>
                                      <a:pt x="4897" y="0"/>
                                      <a:pt x="4897" y="0"/>
                                    </a:cubicBezTo>
                                    <a:cubicBezTo>
                                      <a:pt x="4897" y="121"/>
                                      <a:pt x="4897" y="121"/>
                                      <a:pt x="4897" y="121"/>
                                    </a:cubicBezTo>
                                    <a:cubicBezTo>
                                      <a:pt x="4619" y="121"/>
                                      <a:pt x="4619" y="121"/>
                                      <a:pt x="4619" y="121"/>
                                    </a:cubicBezTo>
                                    <a:cubicBezTo>
                                      <a:pt x="4619" y="544"/>
                                      <a:pt x="4619" y="544"/>
                                      <a:pt x="4619" y="544"/>
                                    </a:cubicBezTo>
                                    <a:cubicBezTo>
                                      <a:pt x="4475" y="544"/>
                                      <a:pt x="4475" y="544"/>
                                      <a:pt x="4475" y="544"/>
                                    </a:cubicBezTo>
                                    <a:lnTo>
                                      <a:pt x="4475" y="12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 xmlns:a14="http://schemas.microsoft.com/office/drawing/2010/main" xmlns:pic="http://schemas.openxmlformats.org/drawingml/2006/picture" xmlns:asvg="http://schemas.microsoft.com/office/drawing/2016/SVG/main" xmlns:arto="http://schemas.microsoft.com/office/word/2006/arto" xmlns:w16sdtfl="http://schemas.microsoft.com/office/word/2024/wordml/sdtformatlock">
                <w:pict>
                  <v:group id="Group 4" style="width:158.2pt;height:15.05pt;mso-position-horizontal-relative:char;mso-position-vertical-relative:line" coordsize="6318,602" o:spid="_x0000_s1026" w14:anchorId="28233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">
                    <v:shape id="Freeform 6" style="position:absolute;top:346;width:1122;height:256;visibility:visible;mso-wrap-style:square;v-text-anchor:top" coordsize="1126,257" o:spid="_x0000_s1027" filled="f" stroked="f" path="m,248v33,9,33,9,33,9c33,257,439,133,563,124v124,9,530,133,530,133c1126,248,1126,248,1126,248,1126,248,773,5,563,,353,5,,248,,24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">
                      <v:path arrowok="t" o:connecttype="custom" o:connectlocs="0,247;33,256;561,124;1089,256;1122,247;561,0;0,247" o:connectangles="0,0,0,0,0,0,0"/>
                    </v:shape>
                    <v:shape id="Freeform 7" style="position:absolute;width:1122;height:256;visibility:visible;mso-wrap-style:square;v-text-anchor:top" coordsize="1126,257" o:spid="_x0000_s1028" filled="f" stroked="f" path="m1126,9c1093,,1093,,1093,v,,-406,124,-530,133c439,124,33,,33,,,9,,9,,9v,,353,243,563,248c773,252,1126,9,1126,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">
                      <v:path arrowok="t" o:connecttype="custom" o:connectlocs="1122,9;1089,0;561,132;33,0;0,9;561,256;1122,9" o:connectangles="0,0,0,0,0,0,0"/>
                    </v:shape>
                    <v:shape id="Freeform 8" style="position:absolute;left:1436;top:37;width:4882;height:542;visibility:visible;mso-wrap-style:square;v-text-anchor:top" coordsize="4897,544" o:spid="_x0000_s1029" filled="f" stroked="f" path="m176,121v-31,,-31,,-31,c145,544,145,544,145,544,,544,,544,,544,,,,,,,267,,267,,267,,398,312,398,312,398,312v47,,47,,47,c576,,576,,576,,842,,842,,842,v,544,,544,,544c698,544,698,544,698,544v,-423,,-423,,-423c667,121,667,121,667,121,530,433,530,433,530,433v-217,,-217,,-217,l176,121xm1014,v144,,144,,144,c1158,544,1158,544,1158,544v-144,,-144,,-144,l1014,xm1329,v259,,259,,259,c1871,423,1871,423,1871,423v32,,32,,32,c1903,,1903,,1903,v144,,144,,144,c2047,544,2047,544,2047,544v-259,,-259,,-259,c1505,121,1505,121,1505,121v-31,,-31,,-31,c1474,544,1474,544,1474,544v-145,,-145,,-145,l1329,xm2203,544v,-121,,-121,,-121c2714,423,2714,423,2714,423v30,,47,-17,47,-47c2761,345,2744,328,2714,328v-343,,-343,,-343,c2256,328,2187,267,2187,164,2187,61,2256,,2371,v500,,500,,500,c2871,121,2871,121,2871,121v-500,,-500,,-500,c2344,121,2328,137,2328,164v,27,16,43,43,43c2714,207,2714,207,2714,207v118,,188,63,188,169c2902,481,2832,544,2714,544r-511,xm2964,541c3288,,3288,,3288,v205,,205,,205,c3818,541,3818,541,3818,541v,3,,3,,3c3657,544,3657,544,3657,544,3598,443,3598,443,3598,443v-415,,-415,,-415,c3125,544,3125,544,3125,544v-161,,-161,,-161,l2964,541xm3529,322c3414,121,3414,121,3414,121v-47,,-47,,-47,c3252,322,3252,322,3252,322r277,xm3931,v145,,145,,145,c4076,544,4076,544,4076,544v-145,,-145,,-145,l3931,xm4475,121v-278,,-278,,-278,c4197,,4197,,4197,v700,,700,,700,c4897,121,4897,121,4897,121v-278,,-278,,-278,c4619,544,4619,544,4619,544v-144,,-144,,-144,l4475,12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">
                      <v:path arrowok="t" o:connecttype="custom" o:connectlocs="145,121;0,542;266,0;444,311;839,0;696,542;665,121;312,431;1011,0;1154,542;1011,0;1583,0;1897,421;2041,0;1783,542;1469,121;1325,542;2196,542;2706,421;2706,327;2180,163;2862,0;2364,121;2364,206;2893,375;2196,542;3278,0;3806,539;3646,542;3173,441;2955,542;3518,321;3357,121;3518,321;4064,0;3919,542;4461,121;4184,0;4882,121;4605,542;4461,121" o:connectangles="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540D49B" w14:textId="77777777" w:rsidR="00A67B89" w:rsidRDefault="00A67B89" w:rsidP="00A67B89">
          <w:pPr>
            <w:spacing w:before="160"/>
            <w:rPr>
              <w:lang w:val="es-ES_tradnl"/>
            </w:rPr>
          </w:pP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03293347" w14:textId="77777777" w:rsidR="00A67B89" w:rsidRPr="00A67B89" w:rsidRDefault="00A67B89" w:rsidP="00A67B89">
          <w:pPr>
            <w:spacing w:before="160"/>
            <w:jc w:val="right"/>
            <w:rPr>
              <w:sz w:val="24"/>
              <w:szCs w:val="32"/>
            </w:rPr>
          </w:pPr>
          <w:r w:rsidRPr="00A67B89">
            <w:rPr>
              <w:sz w:val="24"/>
              <w:szCs w:val="32"/>
            </w:rPr>
            <w:t>Comunicado de prensa</w:t>
          </w:r>
        </w:p>
      </w:tc>
    </w:tr>
  </w:tbl>
  <w:p w14:paraId="59D84D22" w14:textId="77777777" w:rsidR="00A67B89" w:rsidRDefault="00A67B89">
    <w:pPr>
      <w:pStyle w:val="Header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1BC09326" wp14:editId="45D9EAB4">
          <wp:simplePos x="0" y="0"/>
          <wp:positionH relativeFrom="margin">
            <wp:align>center</wp:align>
          </wp:positionH>
          <wp:positionV relativeFrom="paragraph">
            <wp:posOffset>-481440</wp:posOffset>
          </wp:positionV>
          <wp:extent cx="6660000" cy="614770"/>
          <wp:effectExtent l="0" t="0" r="7620" b="0"/>
          <wp:wrapNone/>
          <wp:docPr id="9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51296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61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F2A1F" w14:textId="77777777" w:rsidR="00FE4E37" w:rsidRDefault="00FE4E37" w:rsidP="00544EF6">
    <w:pPr>
      <w:pStyle w:val="Header"/>
    </w:pPr>
  </w:p>
  <w:p w14:paraId="0ACFAEF9" w14:textId="77777777" w:rsidR="00FE4E37" w:rsidRDefault="00FE4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56A2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E0B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BA7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C4B6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2815D4"/>
    <w:lvl w:ilvl="0">
      <w:start w:val="1"/>
      <w:numFmt w:val="bullet"/>
      <w:pStyle w:val="ListBullet5"/>
      <w:lvlText w:val="•"/>
      <w:lvlJc w:val="left"/>
      <w:pPr>
        <w:ind w:left="1494" w:hanging="360"/>
      </w:pPr>
      <w:rPr>
        <w:rFonts w:ascii="ForFuture Sans" w:hAnsi="ForFuture Sans" w:hint="default"/>
      </w:rPr>
    </w:lvl>
  </w:abstractNum>
  <w:abstractNum w:abstractNumId="5" w15:restartNumberingAfterBreak="0">
    <w:nsid w:val="FFFFFF81"/>
    <w:multiLevelType w:val="singleLevel"/>
    <w:tmpl w:val="C674DC54"/>
    <w:lvl w:ilvl="0">
      <w:start w:val="1"/>
      <w:numFmt w:val="bullet"/>
      <w:pStyle w:val="ListBullet4"/>
      <w:lvlText w:val="•"/>
      <w:lvlJc w:val="left"/>
      <w:pPr>
        <w:ind w:left="1211" w:hanging="360"/>
      </w:pPr>
      <w:rPr>
        <w:rFonts w:ascii="ForFuture Sans" w:hAnsi="ForFuture Sans" w:hint="default"/>
      </w:rPr>
    </w:lvl>
  </w:abstractNum>
  <w:abstractNum w:abstractNumId="6" w15:restartNumberingAfterBreak="0">
    <w:nsid w:val="FFFFFF82"/>
    <w:multiLevelType w:val="singleLevel"/>
    <w:tmpl w:val="6B2E3122"/>
    <w:lvl w:ilvl="0">
      <w:start w:val="1"/>
      <w:numFmt w:val="bullet"/>
      <w:pStyle w:val="ListBullet3"/>
      <w:lvlText w:val="•"/>
      <w:lvlJc w:val="left"/>
      <w:pPr>
        <w:ind w:left="927" w:hanging="360"/>
      </w:pPr>
      <w:rPr>
        <w:rFonts w:ascii="ForFuture Sans" w:hAnsi="ForFuture Sans" w:hint="default"/>
      </w:rPr>
    </w:lvl>
  </w:abstractNum>
  <w:abstractNum w:abstractNumId="7" w15:restartNumberingAfterBreak="0">
    <w:nsid w:val="FFFFFF83"/>
    <w:multiLevelType w:val="singleLevel"/>
    <w:tmpl w:val="33E0637E"/>
    <w:lvl w:ilvl="0">
      <w:start w:val="1"/>
      <w:numFmt w:val="bullet"/>
      <w:pStyle w:val="ListBullet2"/>
      <w:lvlText w:val="•"/>
      <w:lvlJc w:val="left"/>
      <w:pPr>
        <w:ind w:left="644" w:hanging="360"/>
      </w:pPr>
      <w:rPr>
        <w:rFonts w:ascii="ForFuture Sans" w:hAnsi="ForFuture Sans" w:hint="default"/>
      </w:rPr>
    </w:lvl>
  </w:abstractNum>
  <w:abstractNum w:abstractNumId="8" w15:restartNumberingAfterBreak="0">
    <w:nsid w:val="FFFFFF88"/>
    <w:multiLevelType w:val="singleLevel"/>
    <w:tmpl w:val="B0B0F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85074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ForFuture Sans" w:hAnsi="ForFuture Sans" w:hint="default"/>
        <w:color w:val="4F062A" w:themeColor="text1"/>
      </w:rPr>
    </w:lvl>
  </w:abstractNum>
  <w:abstractNum w:abstractNumId="10" w15:restartNumberingAfterBreak="0">
    <w:nsid w:val="0C0309CA"/>
    <w:multiLevelType w:val="hybridMultilevel"/>
    <w:tmpl w:val="56DEF854"/>
    <w:lvl w:ilvl="0" w:tplc="3F0C1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CF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0E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84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6C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AC9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0D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C9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CE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CD756E9"/>
    <w:multiLevelType w:val="hybridMultilevel"/>
    <w:tmpl w:val="DFCAFE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671494"/>
    <w:multiLevelType w:val="hybridMultilevel"/>
    <w:tmpl w:val="46A6D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83DB9"/>
    <w:multiLevelType w:val="hybridMultilevel"/>
    <w:tmpl w:val="36582A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04215"/>
    <w:multiLevelType w:val="hybridMultilevel"/>
    <w:tmpl w:val="C6ECC2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5744BB"/>
    <w:multiLevelType w:val="hybridMultilevel"/>
    <w:tmpl w:val="A0D0C6D6"/>
    <w:lvl w:ilvl="0" w:tplc="ABC8B706">
      <w:start w:val="1"/>
      <w:numFmt w:val="bullet"/>
      <w:pStyle w:val="Subtit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83A87"/>
    <w:multiLevelType w:val="hybridMultilevel"/>
    <w:tmpl w:val="239440E8"/>
    <w:lvl w:ilvl="0" w:tplc="0C1E46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8C0C79"/>
    <w:multiLevelType w:val="multilevel"/>
    <w:tmpl w:val="31DC121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C7C7376"/>
    <w:multiLevelType w:val="singleLevel"/>
    <w:tmpl w:val="AFD8852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44B757" w:themeColor="accent2"/>
        <w:sz w:val="22"/>
      </w:rPr>
    </w:lvl>
  </w:abstractNum>
  <w:num w:numId="1" w16cid:durableId="1245991180">
    <w:abstractNumId w:val="13"/>
  </w:num>
  <w:num w:numId="2" w16cid:durableId="565991023">
    <w:abstractNumId w:val="8"/>
  </w:num>
  <w:num w:numId="3" w16cid:durableId="462357502">
    <w:abstractNumId w:val="3"/>
  </w:num>
  <w:num w:numId="4" w16cid:durableId="1223785685">
    <w:abstractNumId w:val="2"/>
  </w:num>
  <w:num w:numId="5" w16cid:durableId="1871332696">
    <w:abstractNumId w:val="1"/>
  </w:num>
  <w:num w:numId="6" w16cid:durableId="911742662">
    <w:abstractNumId w:val="0"/>
  </w:num>
  <w:num w:numId="7" w16cid:durableId="1761828140">
    <w:abstractNumId w:val="9"/>
  </w:num>
  <w:num w:numId="8" w16cid:durableId="275450044">
    <w:abstractNumId w:val="7"/>
  </w:num>
  <w:num w:numId="9" w16cid:durableId="2051414310">
    <w:abstractNumId w:val="6"/>
  </w:num>
  <w:num w:numId="10" w16cid:durableId="1987396538">
    <w:abstractNumId w:val="5"/>
  </w:num>
  <w:num w:numId="11" w16cid:durableId="830367769">
    <w:abstractNumId w:val="4"/>
  </w:num>
  <w:num w:numId="12" w16cid:durableId="957643225">
    <w:abstractNumId w:val="10"/>
  </w:num>
  <w:num w:numId="13" w16cid:durableId="78525657">
    <w:abstractNumId w:val="18"/>
  </w:num>
  <w:num w:numId="14" w16cid:durableId="1801224053">
    <w:abstractNumId w:val="17"/>
  </w:num>
  <w:num w:numId="15" w16cid:durableId="1679116932">
    <w:abstractNumId w:val="14"/>
  </w:num>
  <w:num w:numId="16" w16cid:durableId="103042217">
    <w:abstractNumId w:val="12"/>
  </w:num>
  <w:num w:numId="17" w16cid:durableId="1983458558">
    <w:abstractNumId w:val="15"/>
  </w:num>
  <w:num w:numId="18" w16cid:durableId="1844465682">
    <w:abstractNumId w:val="11"/>
  </w:num>
  <w:num w:numId="19" w16cid:durableId="845292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1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6C1"/>
    <w:rsid w:val="0000501A"/>
    <w:rsid w:val="000332D0"/>
    <w:rsid w:val="00033836"/>
    <w:rsid w:val="00040FAC"/>
    <w:rsid w:val="00046E22"/>
    <w:rsid w:val="0004788B"/>
    <w:rsid w:val="000509AF"/>
    <w:rsid w:val="000516C1"/>
    <w:rsid w:val="00076AED"/>
    <w:rsid w:val="00077E9B"/>
    <w:rsid w:val="00084BD7"/>
    <w:rsid w:val="00093426"/>
    <w:rsid w:val="00094BC7"/>
    <w:rsid w:val="00095418"/>
    <w:rsid w:val="000A1139"/>
    <w:rsid w:val="000A1F56"/>
    <w:rsid w:val="000B205B"/>
    <w:rsid w:val="000C1837"/>
    <w:rsid w:val="000C541D"/>
    <w:rsid w:val="000D267E"/>
    <w:rsid w:val="000D2C4A"/>
    <w:rsid w:val="000E7F41"/>
    <w:rsid w:val="000F3350"/>
    <w:rsid w:val="000F7073"/>
    <w:rsid w:val="00101C54"/>
    <w:rsid w:val="00101F30"/>
    <w:rsid w:val="00102584"/>
    <w:rsid w:val="001347A8"/>
    <w:rsid w:val="001363DE"/>
    <w:rsid w:val="00141103"/>
    <w:rsid w:val="00157D88"/>
    <w:rsid w:val="0016158C"/>
    <w:rsid w:val="00165FED"/>
    <w:rsid w:val="0017039A"/>
    <w:rsid w:val="001726F0"/>
    <w:rsid w:val="00172D65"/>
    <w:rsid w:val="0017565F"/>
    <w:rsid w:val="00184F2F"/>
    <w:rsid w:val="00197609"/>
    <w:rsid w:val="001E0CB1"/>
    <w:rsid w:val="001E19E8"/>
    <w:rsid w:val="00216335"/>
    <w:rsid w:val="00222A25"/>
    <w:rsid w:val="00254534"/>
    <w:rsid w:val="00271B3B"/>
    <w:rsid w:val="00293707"/>
    <w:rsid w:val="00295C79"/>
    <w:rsid w:val="002A6979"/>
    <w:rsid w:val="002A6AB4"/>
    <w:rsid w:val="002B017E"/>
    <w:rsid w:val="002B795C"/>
    <w:rsid w:val="002C656E"/>
    <w:rsid w:val="002C70BA"/>
    <w:rsid w:val="002C7F8F"/>
    <w:rsid w:val="002F6F81"/>
    <w:rsid w:val="00311266"/>
    <w:rsid w:val="00336BD7"/>
    <w:rsid w:val="00340E3A"/>
    <w:rsid w:val="00355C65"/>
    <w:rsid w:val="00357288"/>
    <w:rsid w:val="003607B4"/>
    <w:rsid w:val="003632B3"/>
    <w:rsid w:val="003644ED"/>
    <w:rsid w:val="00390563"/>
    <w:rsid w:val="0039319D"/>
    <w:rsid w:val="00395564"/>
    <w:rsid w:val="0039747B"/>
    <w:rsid w:val="003A244E"/>
    <w:rsid w:val="003A7CD1"/>
    <w:rsid w:val="003B22CB"/>
    <w:rsid w:val="003B2EA8"/>
    <w:rsid w:val="003C5EE6"/>
    <w:rsid w:val="003D4A04"/>
    <w:rsid w:val="003E0E71"/>
    <w:rsid w:val="003E313F"/>
    <w:rsid w:val="003F1821"/>
    <w:rsid w:val="003F5627"/>
    <w:rsid w:val="003F7D3B"/>
    <w:rsid w:val="00402162"/>
    <w:rsid w:val="00416567"/>
    <w:rsid w:val="00421A69"/>
    <w:rsid w:val="004233BC"/>
    <w:rsid w:val="0042353A"/>
    <w:rsid w:val="00423E2E"/>
    <w:rsid w:val="00431B11"/>
    <w:rsid w:val="00436726"/>
    <w:rsid w:val="00441A13"/>
    <w:rsid w:val="00442C42"/>
    <w:rsid w:val="00444647"/>
    <w:rsid w:val="0045170E"/>
    <w:rsid w:val="00454A68"/>
    <w:rsid w:val="00456487"/>
    <w:rsid w:val="0046376A"/>
    <w:rsid w:val="00464601"/>
    <w:rsid w:val="0046704A"/>
    <w:rsid w:val="00467E14"/>
    <w:rsid w:val="00482A19"/>
    <w:rsid w:val="00493742"/>
    <w:rsid w:val="004946B5"/>
    <w:rsid w:val="00494D29"/>
    <w:rsid w:val="0049564F"/>
    <w:rsid w:val="004A2612"/>
    <w:rsid w:val="004A6E82"/>
    <w:rsid w:val="004C7E18"/>
    <w:rsid w:val="004D1B5E"/>
    <w:rsid w:val="004F2F89"/>
    <w:rsid w:val="004F327B"/>
    <w:rsid w:val="00501246"/>
    <w:rsid w:val="00503E7A"/>
    <w:rsid w:val="00507E78"/>
    <w:rsid w:val="00516209"/>
    <w:rsid w:val="00516ACD"/>
    <w:rsid w:val="005176A0"/>
    <w:rsid w:val="00521F02"/>
    <w:rsid w:val="005225D9"/>
    <w:rsid w:val="00522C71"/>
    <w:rsid w:val="0052627E"/>
    <w:rsid w:val="00527441"/>
    <w:rsid w:val="00541E56"/>
    <w:rsid w:val="005420D8"/>
    <w:rsid w:val="00544EF6"/>
    <w:rsid w:val="0054527E"/>
    <w:rsid w:val="005479A5"/>
    <w:rsid w:val="00564317"/>
    <w:rsid w:val="00571CDE"/>
    <w:rsid w:val="00585797"/>
    <w:rsid w:val="00587AD5"/>
    <w:rsid w:val="00596CFF"/>
    <w:rsid w:val="005A7172"/>
    <w:rsid w:val="005B0E6C"/>
    <w:rsid w:val="005B11A2"/>
    <w:rsid w:val="005B1395"/>
    <w:rsid w:val="005B55E0"/>
    <w:rsid w:val="005B5B2D"/>
    <w:rsid w:val="005C59B7"/>
    <w:rsid w:val="005C766D"/>
    <w:rsid w:val="005D609F"/>
    <w:rsid w:val="005E3B89"/>
    <w:rsid w:val="005E3C84"/>
    <w:rsid w:val="005E42CC"/>
    <w:rsid w:val="005E5178"/>
    <w:rsid w:val="005E6D47"/>
    <w:rsid w:val="005F40E1"/>
    <w:rsid w:val="005F5AF9"/>
    <w:rsid w:val="006065F8"/>
    <w:rsid w:val="006125C7"/>
    <w:rsid w:val="0062397A"/>
    <w:rsid w:val="00623A04"/>
    <w:rsid w:val="00624185"/>
    <w:rsid w:val="00625C8B"/>
    <w:rsid w:val="006337A4"/>
    <w:rsid w:val="00633C63"/>
    <w:rsid w:val="0064159B"/>
    <w:rsid w:val="006436A4"/>
    <w:rsid w:val="006463F1"/>
    <w:rsid w:val="006530C3"/>
    <w:rsid w:val="0065419B"/>
    <w:rsid w:val="00680ECA"/>
    <w:rsid w:val="00681C63"/>
    <w:rsid w:val="00683D86"/>
    <w:rsid w:val="00686B52"/>
    <w:rsid w:val="00690659"/>
    <w:rsid w:val="006A2751"/>
    <w:rsid w:val="006A346C"/>
    <w:rsid w:val="006A4595"/>
    <w:rsid w:val="006B0A2C"/>
    <w:rsid w:val="006C3337"/>
    <w:rsid w:val="006C6FB8"/>
    <w:rsid w:val="006D12B6"/>
    <w:rsid w:val="006E143A"/>
    <w:rsid w:val="006E50B5"/>
    <w:rsid w:val="006E6A80"/>
    <w:rsid w:val="00710D75"/>
    <w:rsid w:val="007112E9"/>
    <w:rsid w:val="007160EE"/>
    <w:rsid w:val="0073060D"/>
    <w:rsid w:val="007371BB"/>
    <w:rsid w:val="007467F8"/>
    <w:rsid w:val="007561D3"/>
    <w:rsid w:val="007A0781"/>
    <w:rsid w:val="007A4873"/>
    <w:rsid w:val="007B5576"/>
    <w:rsid w:val="007B7B4D"/>
    <w:rsid w:val="007D088C"/>
    <w:rsid w:val="007E7A17"/>
    <w:rsid w:val="007F681A"/>
    <w:rsid w:val="008018DE"/>
    <w:rsid w:val="0082002F"/>
    <w:rsid w:val="008225ED"/>
    <w:rsid w:val="00824526"/>
    <w:rsid w:val="00824AC8"/>
    <w:rsid w:val="00824F07"/>
    <w:rsid w:val="00842215"/>
    <w:rsid w:val="0085499A"/>
    <w:rsid w:val="00870183"/>
    <w:rsid w:val="00871435"/>
    <w:rsid w:val="00875414"/>
    <w:rsid w:val="00876480"/>
    <w:rsid w:val="00880324"/>
    <w:rsid w:val="00880347"/>
    <w:rsid w:val="00883344"/>
    <w:rsid w:val="00892175"/>
    <w:rsid w:val="00892541"/>
    <w:rsid w:val="008B74BB"/>
    <w:rsid w:val="008C40E5"/>
    <w:rsid w:val="008C5FB9"/>
    <w:rsid w:val="008D1944"/>
    <w:rsid w:val="008D273B"/>
    <w:rsid w:val="008D629E"/>
    <w:rsid w:val="008E7D58"/>
    <w:rsid w:val="00901AFA"/>
    <w:rsid w:val="00903259"/>
    <w:rsid w:val="00903E93"/>
    <w:rsid w:val="00903EE9"/>
    <w:rsid w:val="00903F8E"/>
    <w:rsid w:val="00924EA7"/>
    <w:rsid w:val="00927ED6"/>
    <w:rsid w:val="00936D58"/>
    <w:rsid w:val="00941E87"/>
    <w:rsid w:val="009521F1"/>
    <w:rsid w:val="00953D23"/>
    <w:rsid w:val="00957020"/>
    <w:rsid w:val="0097701D"/>
    <w:rsid w:val="009A15A4"/>
    <w:rsid w:val="009A17B3"/>
    <w:rsid w:val="009A5011"/>
    <w:rsid w:val="009A7964"/>
    <w:rsid w:val="009B66FD"/>
    <w:rsid w:val="009B7C9C"/>
    <w:rsid w:val="009C2582"/>
    <w:rsid w:val="009C2E38"/>
    <w:rsid w:val="009D0287"/>
    <w:rsid w:val="009D3E42"/>
    <w:rsid w:val="009E030A"/>
    <w:rsid w:val="009E675C"/>
    <w:rsid w:val="009F4A82"/>
    <w:rsid w:val="009F57FE"/>
    <w:rsid w:val="009F6E81"/>
    <w:rsid w:val="00A0068F"/>
    <w:rsid w:val="00A020F4"/>
    <w:rsid w:val="00A12BB7"/>
    <w:rsid w:val="00A4074D"/>
    <w:rsid w:val="00A40F14"/>
    <w:rsid w:val="00A41285"/>
    <w:rsid w:val="00A43F60"/>
    <w:rsid w:val="00A6444A"/>
    <w:rsid w:val="00A67B89"/>
    <w:rsid w:val="00A702EE"/>
    <w:rsid w:val="00A74084"/>
    <w:rsid w:val="00A75FBA"/>
    <w:rsid w:val="00A85B6A"/>
    <w:rsid w:val="00A85BA7"/>
    <w:rsid w:val="00A878E3"/>
    <w:rsid w:val="00A9377E"/>
    <w:rsid w:val="00A96CC4"/>
    <w:rsid w:val="00A97269"/>
    <w:rsid w:val="00AA0A74"/>
    <w:rsid w:val="00AA1B83"/>
    <w:rsid w:val="00AC0D75"/>
    <w:rsid w:val="00AE370D"/>
    <w:rsid w:val="00AE520C"/>
    <w:rsid w:val="00AF0435"/>
    <w:rsid w:val="00B01454"/>
    <w:rsid w:val="00B07DCF"/>
    <w:rsid w:val="00B10022"/>
    <w:rsid w:val="00B10BC4"/>
    <w:rsid w:val="00B11F02"/>
    <w:rsid w:val="00B21F4A"/>
    <w:rsid w:val="00B60ACA"/>
    <w:rsid w:val="00B67380"/>
    <w:rsid w:val="00B82937"/>
    <w:rsid w:val="00B86901"/>
    <w:rsid w:val="00B90E07"/>
    <w:rsid w:val="00B926C3"/>
    <w:rsid w:val="00BA728C"/>
    <w:rsid w:val="00BB0D0E"/>
    <w:rsid w:val="00BB43F6"/>
    <w:rsid w:val="00BB46C5"/>
    <w:rsid w:val="00BB688D"/>
    <w:rsid w:val="00BD39F0"/>
    <w:rsid w:val="00BE21B3"/>
    <w:rsid w:val="00BE73E2"/>
    <w:rsid w:val="00C33262"/>
    <w:rsid w:val="00C40254"/>
    <w:rsid w:val="00C47B2C"/>
    <w:rsid w:val="00C47B57"/>
    <w:rsid w:val="00C50B64"/>
    <w:rsid w:val="00C526CF"/>
    <w:rsid w:val="00C675E3"/>
    <w:rsid w:val="00C742E3"/>
    <w:rsid w:val="00C75524"/>
    <w:rsid w:val="00C93712"/>
    <w:rsid w:val="00C93CC7"/>
    <w:rsid w:val="00C972F8"/>
    <w:rsid w:val="00CA6930"/>
    <w:rsid w:val="00CB3F82"/>
    <w:rsid w:val="00CB6753"/>
    <w:rsid w:val="00CC270A"/>
    <w:rsid w:val="00CC3A2C"/>
    <w:rsid w:val="00CD0B64"/>
    <w:rsid w:val="00CD227E"/>
    <w:rsid w:val="00CD572F"/>
    <w:rsid w:val="00CE1C72"/>
    <w:rsid w:val="00D00BB7"/>
    <w:rsid w:val="00D03565"/>
    <w:rsid w:val="00D2127E"/>
    <w:rsid w:val="00D311DF"/>
    <w:rsid w:val="00D336A9"/>
    <w:rsid w:val="00D416FC"/>
    <w:rsid w:val="00D4235F"/>
    <w:rsid w:val="00D445D4"/>
    <w:rsid w:val="00D45EC2"/>
    <w:rsid w:val="00D467D1"/>
    <w:rsid w:val="00D52E53"/>
    <w:rsid w:val="00D62C12"/>
    <w:rsid w:val="00D63B88"/>
    <w:rsid w:val="00D70011"/>
    <w:rsid w:val="00D756B3"/>
    <w:rsid w:val="00D835B7"/>
    <w:rsid w:val="00D94007"/>
    <w:rsid w:val="00D957AD"/>
    <w:rsid w:val="00DA07A2"/>
    <w:rsid w:val="00DC09BB"/>
    <w:rsid w:val="00DC3B14"/>
    <w:rsid w:val="00DC42A5"/>
    <w:rsid w:val="00DC65C1"/>
    <w:rsid w:val="00DC782C"/>
    <w:rsid w:val="00DD262F"/>
    <w:rsid w:val="00DE75D7"/>
    <w:rsid w:val="00DF3827"/>
    <w:rsid w:val="00E00B89"/>
    <w:rsid w:val="00E07C92"/>
    <w:rsid w:val="00E12179"/>
    <w:rsid w:val="00E17A04"/>
    <w:rsid w:val="00E34143"/>
    <w:rsid w:val="00E35DF0"/>
    <w:rsid w:val="00E40EBC"/>
    <w:rsid w:val="00E62D90"/>
    <w:rsid w:val="00E70898"/>
    <w:rsid w:val="00E71AC2"/>
    <w:rsid w:val="00E77D9C"/>
    <w:rsid w:val="00E83743"/>
    <w:rsid w:val="00EC523A"/>
    <w:rsid w:val="00EE36B7"/>
    <w:rsid w:val="00EF364C"/>
    <w:rsid w:val="00EF3D46"/>
    <w:rsid w:val="00EF51F2"/>
    <w:rsid w:val="00F20AB0"/>
    <w:rsid w:val="00F2110C"/>
    <w:rsid w:val="00F252D7"/>
    <w:rsid w:val="00F31127"/>
    <w:rsid w:val="00F34108"/>
    <w:rsid w:val="00F36DC6"/>
    <w:rsid w:val="00F47856"/>
    <w:rsid w:val="00F50176"/>
    <w:rsid w:val="00F51100"/>
    <w:rsid w:val="00F677C0"/>
    <w:rsid w:val="00F71985"/>
    <w:rsid w:val="00F83D1D"/>
    <w:rsid w:val="00F852C5"/>
    <w:rsid w:val="00F94B5A"/>
    <w:rsid w:val="00F95DA5"/>
    <w:rsid w:val="00F96F00"/>
    <w:rsid w:val="00FA0464"/>
    <w:rsid w:val="00FA3670"/>
    <w:rsid w:val="00FA573B"/>
    <w:rsid w:val="00FB0EC9"/>
    <w:rsid w:val="00FB144D"/>
    <w:rsid w:val="00FB18BC"/>
    <w:rsid w:val="00FB2231"/>
    <w:rsid w:val="00FB26E0"/>
    <w:rsid w:val="00FC048C"/>
    <w:rsid w:val="00FC04F3"/>
    <w:rsid w:val="00FC4624"/>
    <w:rsid w:val="00FD2660"/>
    <w:rsid w:val="00FD49A3"/>
    <w:rsid w:val="00FE4E37"/>
    <w:rsid w:val="00FF0F19"/>
    <w:rsid w:val="27BEB1D4"/>
    <w:rsid w:val="5F3B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0B0904"/>
  <w15:docId w15:val="{261F56E7-E550-4831-897F-4FEF5866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27E"/>
    <w:pPr>
      <w:spacing w:before="120" w:after="120" w:line="240" w:lineRule="auto"/>
      <w:jc w:val="both"/>
    </w:pPr>
    <w:rPr>
      <w:rFonts w:asciiTheme="majorHAnsi" w:eastAsia="Times New Roman" w:hAnsiTheme="majorHAnsi" w:cs="Times New Roman"/>
      <w:color w:val="4F062A" w:themeColor="text1"/>
      <w:kern w:val="28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7A8"/>
    <w:pPr>
      <w:keepNext/>
      <w:keepLines/>
      <w:pageBreakBefore/>
      <w:numPr>
        <w:numId w:val="14"/>
      </w:numPr>
      <w:spacing w:before="0" w:after="240"/>
      <w:ind w:left="431" w:hanging="431"/>
      <w:jc w:val="left"/>
      <w:outlineLvl w:val="0"/>
    </w:pPr>
    <w:rPr>
      <w:rFonts w:eastAsiaTheme="majorEastAsia" w:cstheme="majorBidi"/>
      <w:bCs/>
      <w:noProof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584"/>
    <w:pPr>
      <w:keepNext/>
      <w:keepLines/>
      <w:numPr>
        <w:ilvl w:val="1"/>
        <w:numId w:val="14"/>
      </w:numPr>
      <w:spacing w:before="360"/>
      <w:ind w:left="490" w:hanging="490"/>
      <w:outlineLvl w:val="1"/>
    </w:pPr>
    <w:rPr>
      <w:rFonts w:eastAsiaTheme="majorEastAsia" w:cstheme="majorBidi"/>
      <w:bCs/>
      <w:noProof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2584"/>
    <w:pPr>
      <w:keepNext/>
      <w:keepLines/>
      <w:numPr>
        <w:ilvl w:val="2"/>
        <w:numId w:val="14"/>
      </w:numPr>
      <w:spacing w:before="240"/>
      <w:ind w:left="630" w:hanging="630"/>
      <w:outlineLvl w:val="2"/>
    </w:pPr>
    <w:rPr>
      <w:rFonts w:eastAsiaTheme="majorEastAsia" w:cstheme="majorBidi"/>
      <w:bCs/>
      <w:noProof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11DF"/>
    <w:pPr>
      <w:keepNext/>
      <w:keepLines/>
      <w:numPr>
        <w:ilvl w:val="3"/>
        <w:numId w:val="14"/>
      </w:numPr>
      <w:spacing w:before="200"/>
      <w:ind w:left="709" w:hanging="709"/>
      <w:outlineLvl w:val="3"/>
    </w:pPr>
    <w:rPr>
      <w:rFonts w:eastAsiaTheme="majorEastAsia" w:cstheme="majorBidi"/>
      <w:bCs/>
      <w:iCs/>
      <w:noProof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11DF"/>
    <w:pPr>
      <w:keepNext/>
      <w:keepLines/>
      <w:numPr>
        <w:ilvl w:val="4"/>
        <w:numId w:val="14"/>
      </w:numPr>
      <w:spacing w:before="200"/>
      <w:ind w:left="851" w:hanging="851"/>
      <w:outlineLvl w:val="4"/>
    </w:pPr>
    <w:rPr>
      <w:rFonts w:eastAsiaTheme="majorEastAsia" w:cstheme="majorBidi"/>
      <w:noProof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B2C"/>
    <w:pPr>
      <w:keepNext/>
      <w:keepLines/>
      <w:numPr>
        <w:ilvl w:val="5"/>
        <w:numId w:val="14"/>
      </w:numPr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1"/>
    <w:pPr>
      <w:keepNext/>
      <w:keepLines/>
      <w:numPr>
        <w:ilvl w:val="6"/>
        <w:numId w:val="14"/>
      </w:numPr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4DA"/>
    <w:pPr>
      <w:keepNext/>
      <w:keepLines/>
      <w:numPr>
        <w:ilvl w:val="7"/>
        <w:numId w:val="14"/>
      </w:numPr>
      <w:spacing w:before="200"/>
      <w:outlineLvl w:val="7"/>
    </w:pPr>
    <w:rPr>
      <w:rFonts w:eastAsiaTheme="majorEastAsia" w:cstheme="majorBidi"/>
      <w:color w:val="B20D5E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4DA"/>
    <w:pPr>
      <w:keepNext/>
      <w:keepLines/>
      <w:numPr>
        <w:ilvl w:val="8"/>
        <w:numId w:val="14"/>
      </w:numPr>
      <w:spacing w:before="200"/>
      <w:outlineLvl w:val="8"/>
    </w:pPr>
    <w:rPr>
      <w:rFonts w:eastAsiaTheme="majorEastAsia" w:cstheme="majorBidi"/>
      <w:i/>
      <w:iCs/>
      <w:color w:val="B20D5E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52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526"/>
    <w:rPr>
      <w:rFonts w:ascii="Arial" w:eastAsia="Times New Roman" w:hAnsi="Arial" w:cs="Times New Roman"/>
      <w:kern w:val="28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B64"/>
    <w:pPr>
      <w:tabs>
        <w:tab w:val="center" w:pos="4252"/>
        <w:tab w:val="right" w:pos="8504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D0B64"/>
    <w:rPr>
      <w:rFonts w:ascii="ForFuture Sans" w:eastAsia="Times New Roman" w:hAnsi="ForFuture Sans" w:cs="Times New Roman"/>
      <w:color w:val="4F062A" w:themeColor="text1"/>
      <w:kern w:val="28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C5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BE73E2"/>
    <w:pPr>
      <w:numPr>
        <w:numId w:val="7"/>
      </w:numPr>
      <w:spacing w:after="0"/>
      <w:ind w:left="278" w:hanging="278"/>
    </w:pPr>
    <w:rPr>
      <w:rFonts w:asciiTheme="minorHAnsi" w:hAnsiTheme="minorHAnsi"/>
      <w:b/>
      <w:noProof/>
    </w:rPr>
  </w:style>
  <w:style w:type="paragraph" w:styleId="ListBullet2">
    <w:name w:val="List Bullet 2"/>
    <w:basedOn w:val="Normal"/>
    <w:uiPriority w:val="99"/>
    <w:unhideWhenUsed/>
    <w:qFormat/>
    <w:rsid w:val="00340E3A"/>
    <w:pPr>
      <w:numPr>
        <w:numId w:val="8"/>
      </w:numPr>
      <w:spacing w:before="80" w:after="0"/>
      <w:ind w:left="845" w:hanging="278"/>
    </w:pPr>
    <w:rPr>
      <w:noProof/>
    </w:rPr>
  </w:style>
  <w:style w:type="paragraph" w:styleId="ListBullet3">
    <w:name w:val="List Bullet 3"/>
    <w:basedOn w:val="Normal"/>
    <w:uiPriority w:val="99"/>
    <w:unhideWhenUsed/>
    <w:rsid w:val="00340E3A"/>
    <w:pPr>
      <w:numPr>
        <w:numId w:val="9"/>
      </w:numPr>
      <w:spacing w:before="80" w:after="0"/>
      <w:ind w:left="1338" w:hanging="278"/>
    </w:pPr>
    <w:rPr>
      <w:noProof/>
    </w:rPr>
  </w:style>
  <w:style w:type="paragraph" w:styleId="ListBullet4">
    <w:name w:val="List Bullet 4"/>
    <w:basedOn w:val="Normal"/>
    <w:uiPriority w:val="99"/>
    <w:unhideWhenUsed/>
    <w:rsid w:val="00340E3A"/>
    <w:pPr>
      <w:numPr>
        <w:numId w:val="10"/>
      </w:numPr>
      <w:spacing w:before="80" w:after="0"/>
      <w:ind w:left="1837" w:hanging="278"/>
    </w:pPr>
    <w:rPr>
      <w:noProof/>
    </w:rPr>
  </w:style>
  <w:style w:type="paragraph" w:styleId="ListBullet5">
    <w:name w:val="List Bullet 5"/>
    <w:basedOn w:val="Normal"/>
    <w:uiPriority w:val="99"/>
    <w:unhideWhenUsed/>
    <w:qFormat/>
    <w:rsid w:val="00340E3A"/>
    <w:pPr>
      <w:numPr>
        <w:numId w:val="11"/>
      </w:numPr>
      <w:spacing w:before="80" w:after="0"/>
      <w:ind w:left="2263" w:hanging="278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1347A8"/>
    <w:rPr>
      <w:rFonts w:ascii="ForFuture Sans" w:eastAsiaTheme="majorEastAsia" w:hAnsi="ForFuture Sans" w:cstheme="majorBidi"/>
      <w:bCs/>
      <w:noProof/>
      <w:color w:val="4F062A" w:themeColor="text1"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2584"/>
    <w:rPr>
      <w:rFonts w:ascii="ForFuture Sans" w:eastAsiaTheme="majorEastAsia" w:hAnsi="ForFuture Sans" w:cstheme="majorBidi"/>
      <w:bCs/>
      <w:noProof/>
      <w:color w:val="4F062A" w:themeColor="text1"/>
      <w:kern w:val="28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584"/>
    <w:rPr>
      <w:rFonts w:ascii="ForFuture Sans" w:eastAsiaTheme="majorEastAsia" w:hAnsi="ForFuture Sans" w:cstheme="majorBidi"/>
      <w:bCs/>
      <w:noProof/>
      <w:color w:val="4F062A" w:themeColor="text1"/>
      <w:kern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311DF"/>
    <w:rPr>
      <w:rFonts w:ascii="ForFuture Sans" w:eastAsiaTheme="majorEastAsia" w:hAnsi="ForFuture Sans" w:cstheme="majorBidi"/>
      <w:bCs/>
      <w:iCs/>
      <w:noProof/>
      <w:color w:val="4F062A" w:themeColor="text1"/>
      <w:kern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311DF"/>
    <w:rPr>
      <w:rFonts w:ascii="ForFuture Sans" w:eastAsiaTheme="majorEastAsia" w:hAnsi="ForFuture Sans" w:cstheme="majorBidi"/>
      <w:noProof/>
      <w:color w:val="4F062A" w:themeColor="text1"/>
      <w:kern w:val="28"/>
      <w:sz w:val="20"/>
      <w:szCs w:val="24"/>
    </w:rPr>
  </w:style>
  <w:style w:type="table" w:styleId="TableGrid">
    <w:name w:val="Table Grid"/>
    <w:basedOn w:val="TableNormal"/>
    <w:rsid w:val="001347A8"/>
    <w:pPr>
      <w:spacing w:after="0" w:line="240" w:lineRule="auto"/>
      <w:jc w:val="both"/>
    </w:pPr>
    <w:rPr>
      <w:rFonts w:eastAsia="Times New Roman" w:cs="Times New Roman"/>
      <w:color w:val="4F062A" w:themeColor="text1"/>
      <w:sz w:val="20"/>
      <w:szCs w:val="20"/>
      <w:lang w:eastAsia="zh-CN"/>
    </w:rPr>
    <w:tblPr>
      <w:tblBorders>
        <w:top w:val="single" w:sz="4" w:space="0" w:color="4F062A" w:themeColor="text1"/>
        <w:left w:val="single" w:sz="4" w:space="0" w:color="4F062A" w:themeColor="text1"/>
        <w:bottom w:val="single" w:sz="4" w:space="0" w:color="4F062A" w:themeColor="text1"/>
        <w:right w:val="single" w:sz="4" w:space="0" w:color="4F062A" w:themeColor="text1"/>
        <w:insideH w:val="single" w:sz="4" w:space="0" w:color="4F062A" w:themeColor="text1"/>
        <w:insideV w:val="single" w:sz="4" w:space="0" w:color="4F062A" w:themeColor="text1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293707"/>
    <w:pPr>
      <w:tabs>
        <w:tab w:val="left" w:pos="851"/>
        <w:tab w:val="right" w:leader="dot" w:pos="9798"/>
      </w:tabs>
      <w:spacing w:after="80"/>
      <w:ind w:left="425"/>
    </w:pPr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293707"/>
    <w:pPr>
      <w:tabs>
        <w:tab w:val="left" w:pos="284"/>
        <w:tab w:val="right" w:leader="dot" w:pos="9798"/>
      </w:tabs>
      <w:spacing w:before="200" w:after="8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93707"/>
    <w:pPr>
      <w:tabs>
        <w:tab w:val="left" w:pos="993"/>
        <w:tab w:val="right" w:leader="dot" w:pos="9798"/>
      </w:tabs>
      <w:spacing w:before="80" w:after="80"/>
      <w:ind w:left="425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92140B"/>
    <w:rPr>
      <w:color w:val="FF6598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B2C"/>
    <w:rPr>
      <w:rFonts w:ascii="ForFuture Sans" w:eastAsiaTheme="majorEastAsia" w:hAnsi="ForFuture Sans" w:cstheme="majorBidi"/>
      <w:i/>
      <w:iCs/>
      <w:color w:val="4F062A" w:themeColor="text1"/>
      <w:kern w:val="28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B41"/>
    <w:rPr>
      <w:rFonts w:asciiTheme="majorHAnsi" w:eastAsiaTheme="majorEastAsia" w:hAnsiTheme="majorHAnsi" w:cstheme="majorBidi"/>
      <w:i/>
      <w:iCs/>
      <w:kern w:val="28"/>
      <w:sz w:val="20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4DA"/>
    <w:rPr>
      <w:rFonts w:asciiTheme="majorHAnsi" w:eastAsiaTheme="majorEastAsia" w:hAnsiTheme="majorHAnsi" w:cstheme="majorBidi"/>
      <w:color w:val="B20D5E" w:themeColor="text1" w:themeTint="BF"/>
      <w:kern w:val="28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4DA"/>
    <w:rPr>
      <w:rFonts w:asciiTheme="majorHAnsi" w:eastAsiaTheme="majorEastAsia" w:hAnsiTheme="majorHAnsi" w:cstheme="majorBidi"/>
      <w:i/>
      <w:iCs/>
      <w:color w:val="B20D5E" w:themeColor="text1" w:themeTint="BF"/>
      <w:kern w:val="28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596CFF"/>
    <w:pPr>
      <w:spacing w:after="360"/>
      <w:jc w:val="center"/>
    </w:pPr>
    <w:rPr>
      <w:bCs/>
      <w:noProof/>
      <w:sz w:val="18"/>
      <w:szCs w:val="18"/>
    </w:rPr>
  </w:style>
  <w:style w:type="table" w:customStyle="1" w:styleId="Listaclara-nfasis11">
    <w:name w:val="Lista clara - Énfasis 11"/>
    <w:basedOn w:val="TableNormal"/>
    <w:uiPriority w:val="61"/>
    <w:rsid w:val="0084709C"/>
    <w:pPr>
      <w:spacing w:after="0" w:line="240" w:lineRule="auto"/>
    </w:pPr>
    <w:tblPr>
      <w:tblStyleRowBandSize w:val="1"/>
      <w:tblStyleColBandSize w:val="1"/>
      <w:tblBorders>
        <w:top w:val="single" w:sz="8" w:space="0" w:color="FF0054" w:themeColor="accent1"/>
        <w:left w:val="single" w:sz="8" w:space="0" w:color="FF0054" w:themeColor="accent1"/>
        <w:bottom w:val="single" w:sz="8" w:space="0" w:color="FF0054" w:themeColor="accent1"/>
        <w:right w:val="single" w:sz="8" w:space="0" w:color="FF005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54" w:themeColor="accent1"/>
          <w:left w:val="single" w:sz="8" w:space="0" w:color="FF0054" w:themeColor="accent1"/>
          <w:bottom w:val="single" w:sz="8" w:space="0" w:color="FF0054" w:themeColor="accent1"/>
          <w:right w:val="single" w:sz="8" w:space="0" w:color="FF00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54" w:themeColor="accent1"/>
          <w:left w:val="single" w:sz="8" w:space="0" w:color="FF0054" w:themeColor="accent1"/>
          <w:bottom w:val="single" w:sz="8" w:space="0" w:color="FF0054" w:themeColor="accent1"/>
          <w:right w:val="single" w:sz="8" w:space="0" w:color="FF0054" w:themeColor="accent1"/>
        </w:tcBorders>
      </w:tcPr>
    </w:tblStylePr>
    <w:tblStylePr w:type="band1Horz">
      <w:tblPr/>
      <w:tcPr>
        <w:tcBorders>
          <w:top w:val="single" w:sz="8" w:space="0" w:color="FF0054" w:themeColor="accent1"/>
          <w:left w:val="single" w:sz="8" w:space="0" w:color="FF0054" w:themeColor="accent1"/>
          <w:bottom w:val="single" w:sz="8" w:space="0" w:color="FF0054" w:themeColor="accent1"/>
          <w:right w:val="single" w:sz="8" w:space="0" w:color="FF0054" w:themeColor="accent1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AD4A95"/>
  </w:style>
  <w:style w:type="character" w:styleId="FollowedHyperlink">
    <w:name w:val="FollowedHyperlink"/>
    <w:basedOn w:val="DefaultParagraphFont"/>
    <w:uiPriority w:val="99"/>
    <w:semiHidden/>
    <w:unhideWhenUsed/>
    <w:rsid w:val="00FB144D"/>
    <w:rPr>
      <w:color w:val="A40037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96CC4"/>
  </w:style>
  <w:style w:type="paragraph" w:styleId="ListParagraph">
    <w:name w:val="List Paragraph"/>
    <w:basedOn w:val="Normal"/>
    <w:link w:val="ListParagraphChar"/>
    <w:uiPriority w:val="34"/>
    <w:qFormat/>
    <w:rsid w:val="002C70BA"/>
    <w:pPr>
      <w:ind w:left="720"/>
      <w:contextualSpacing/>
    </w:pPr>
  </w:style>
  <w:style w:type="paragraph" w:customStyle="1" w:styleId="TextoTablas">
    <w:name w:val="Texto Tablas"/>
    <w:basedOn w:val="Normal"/>
    <w:qFormat/>
    <w:rsid w:val="00596CFF"/>
    <w:pPr>
      <w:spacing w:before="40" w:after="40"/>
      <w:jc w:val="center"/>
    </w:pPr>
    <w:rPr>
      <w:bCs/>
      <w:noProof/>
      <w:sz w:val="18"/>
    </w:rPr>
  </w:style>
  <w:style w:type="paragraph" w:customStyle="1" w:styleId="ImagenFigura">
    <w:name w:val="Imagen / Figura"/>
    <w:basedOn w:val="Normal"/>
    <w:qFormat/>
    <w:rsid w:val="005C59B7"/>
    <w:pPr>
      <w:keepNext/>
      <w:spacing w:before="240" w:after="60"/>
      <w:jc w:val="center"/>
    </w:pPr>
    <w:rPr>
      <w:noProof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CD227E"/>
    <w:rPr>
      <w:color w:val="605E5C"/>
      <w:shd w:val="clear" w:color="auto" w:fill="E1DFDD"/>
    </w:rPr>
  </w:style>
  <w:style w:type="paragraph" w:customStyle="1" w:styleId="Encabezado1">
    <w:name w:val="Encabezado1"/>
    <w:basedOn w:val="Normal"/>
    <w:link w:val="HeaderCar"/>
    <w:autoRedefine/>
    <w:qFormat/>
    <w:rsid w:val="00BE73E2"/>
    <w:pPr>
      <w:spacing w:before="0" w:after="0"/>
      <w:ind w:right="55"/>
    </w:pPr>
    <w:rPr>
      <w:rFonts w:ascii="Arial" w:hAnsi="Arial"/>
      <w:b/>
      <w:kern w:val="0"/>
      <w:sz w:val="32"/>
      <w:szCs w:val="26"/>
      <w:lang w:eastAsia="es-ES"/>
    </w:rPr>
  </w:style>
  <w:style w:type="character" w:customStyle="1" w:styleId="HeaderCar">
    <w:name w:val="Header Car"/>
    <w:basedOn w:val="DefaultParagraphFont"/>
    <w:link w:val="Encabezado1"/>
    <w:rsid w:val="00BE73E2"/>
    <w:rPr>
      <w:rFonts w:ascii="Arial" w:eastAsia="Times New Roman" w:hAnsi="Arial" w:cs="Times New Roman"/>
      <w:b/>
      <w:color w:val="4F062A" w:themeColor="text1"/>
      <w:sz w:val="32"/>
      <w:szCs w:val="26"/>
      <w:lang w:eastAsia="es-ES"/>
    </w:rPr>
  </w:style>
  <w:style w:type="paragraph" w:customStyle="1" w:styleId="Listaconvietas1">
    <w:name w:val="Lista con viñetas 1"/>
    <w:basedOn w:val="ListBullet"/>
    <w:qFormat/>
    <w:rsid w:val="00EC523A"/>
    <w:rPr>
      <w:b w:val="0"/>
    </w:rPr>
  </w:style>
  <w:style w:type="character" w:customStyle="1" w:styleId="ListParagraphChar">
    <w:name w:val="List Paragraph Char"/>
    <w:link w:val="ListParagraph"/>
    <w:uiPriority w:val="34"/>
    <w:rsid w:val="00EC523A"/>
    <w:rPr>
      <w:rFonts w:asciiTheme="majorHAnsi" w:eastAsia="Times New Roman" w:hAnsiTheme="majorHAnsi" w:cs="Times New Roman"/>
      <w:color w:val="4F062A" w:themeColor="text1"/>
      <w:kern w:val="28"/>
      <w:sz w:val="20"/>
      <w:szCs w:val="24"/>
    </w:rPr>
  </w:style>
  <w:style w:type="paragraph" w:customStyle="1" w:styleId="Cabecera">
    <w:name w:val="Cabecera"/>
    <w:basedOn w:val="Normal"/>
    <w:link w:val="CabeceraCar"/>
    <w:qFormat/>
    <w:rsid w:val="00A67B89"/>
    <w:pPr>
      <w:spacing w:before="0" w:after="0"/>
      <w:ind w:right="55"/>
    </w:pPr>
    <w:rPr>
      <w:rFonts w:ascii="Arial" w:hAnsi="Arial"/>
      <w:b/>
      <w:kern w:val="0"/>
      <w:sz w:val="26"/>
      <w:szCs w:val="26"/>
      <w:lang w:eastAsia="es-ES"/>
    </w:rPr>
  </w:style>
  <w:style w:type="character" w:customStyle="1" w:styleId="CabeceraCar">
    <w:name w:val="Cabecera Car"/>
    <w:basedOn w:val="DefaultParagraphFont"/>
    <w:link w:val="Cabecera"/>
    <w:rsid w:val="00A67B89"/>
    <w:rPr>
      <w:rFonts w:ascii="Arial" w:eastAsia="Times New Roman" w:hAnsi="Arial" w:cs="Times New Roman"/>
      <w:b/>
      <w:color w:val="4F062A" w:themeColor="text1"/>
      <w:sz w:val="26"/>
      <w:szCs w:val="26"/>
      <w:lang w:eastAsia="es-ES"/>
    </w:rPr>
  </w:style>
  <w:style w:type="paragraph" w:styleId="Revision">
    <w:name w:val="Revision"/>
    <w:hidden/>
    <w:uiPriority w:val="99"/>
    <w:semiHidden/>
    <w:rsid w:val="009C2E38"/>
    <w:pPr>
      <w:spacing w:after="0" w:line="240" w:lineRule="auto"/>
    </w:pPr>
    <w:rPr>
      <w:rFonts w:asciiTheme="majorHAnsi" w:eastAsia="Times New Roman" w:hAnsiTheme="majorHAnsi" w:cs="Times New Roman"/>
      <w:color w:val="4F062A" w:themeColor="text1"/>
      <w:kern w:val="28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C2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2E3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E38"/>
    <w:rPr>
      <w:rFonts w:asciiTheme="majorHAnsi" w:eastAsia="Times New Roman" w:hAnsiTheme="majorHAnsi" w:cs="Times New Roman"/>
      <w:color w:val="4F062A" w:themeColor="text1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E38"/>
    <w:rPr>
      <w:rFonts w:asciiTheme="majorHAnsi" w:eastAsia="Times New Roman" w:hAnsiTheme="majorHAnsi" w:cs="Times New Roman"/>
      <w:b/>
      <w:bCs/>
      <w:color w:val="4F062A" w:themeColor="text1"/>
      <w:kern w:val="28"/>
      <w:sz w:val="20"/>
      <w:szCs w:val="20"/>
    </w:rPr>
  </w:style>
  <w:style w:type="paragraph" w:styleId="Subtitle">
    <w:name w:val="Subtitle"/>
    <w:basedOn w:val="ListParagraph"/>
    <w:next w:val="Normal"/>
    <w:link w:val="SubtitleChar"/>
    <w:uiPriority w:val="11"/>
    <w:qFormat/>
    <w:rsid w:val="000A1F56"/>
    <w:pPr>
      <w:numPr>
        <w:numId w:val="17"/>
      </w:numPr>
      <w:spacing w:before="0" w:after="0"/>
      <w:ind w:left="426" w:right="55" w:hanging="426"/>
    </w:pPr>
    <w:rPr>
      <w:rFonts w:ascii="Arial" w:hAnsi="Arial"/>
      <w:b/>
      <w:kern w:val="0"/>
      <w:lang w:eastAsia="es-ES"/>
    </w:rPr>
  </w:style>
  <w:style w:type="character" w:customStyle="1" w:styleId="SubtitleChar">
    <w:name w:val="Subtitle Char"/>
    <w:basedOn w:val="DefaultParagraphFont"/>
    <w:link w:val="Subtitle"/>
    <w:uiPriority w:val="11"/>
    <w:rsid w:val="000A1F56"/>
    <w:rPr>
      <w:rFonts w:ascii="Arial" w:eastAsia="Times New Roman" w:hAnsi="Arial" w:cs="Times New Roman"/>
      <w:b/>
      <w:color w:val="4F062A" w:themeColor="text1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1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290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77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21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679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4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3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11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69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2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26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dracompany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sai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rufo\Downloads\MINSAIT_NP_ES_V2%20(1).dotx" TargetMode="External"/></Relationships>
</file>

<file path=word/theme/theme1.xml><?xml version="1.0" encoding="utf-8"?>
<a:theme xmlns:a="http://schemas.openxmlformats.org/drawingml/2006/main" name="Tema de Office">
  <a:themeElements>
    <a:clrScheme name="Minsait v10">
      <a:dk1>
        <a:srgbClr val="4F062A"/>
      </a:dk1>
      <a:lt1>
        <a:srgbClr val="FFFFFF"/>
      </a:lt1>
      <a:dk2>
        <a:srgbClr val="260717"/>
      </a:dk2>
      <a:lt2>
        <a:srgbClr val="E3E2DA"/>
      </a:lt2>
      <a:accent1>
        <a:srgbClr val="FF0054"/>
      </a:accent1>
      <a:accent2>
        <a:srgbClr val="44B757"/>
      </a:accent2>
      <a:accent3>
        <a:srgbClr val="8661F5"/>
      </a:accent3>
      <a:accent4>
        <a:srgbClr val="E56813"/>
      </a:accent4>
      <a:accent5>
        <a:srgbClr val="00B0BD"/>
      </a:accent5>
      <a:accent6>
        <a:srgbClr val="EF659D"/>
      </a:accent6>
      <a:hlink>
        <a:srgbClr val="FF6598"/>
      </a:hlink>
      <a:folHlink>
        <a:srgbClr val="A40037"/>
      </a:folHlink>
    </a:clrScheme>
    <a:fontScheme name="Indra for Client PH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99b06c-faaa-497d-9c14-a156495a53bc" xsi:nil="true"/>
    <lcf76f155ced4ddcb4097134ff3c332f xmlns="214a7c6a-9564-4936-9ed5-fe923a89753d">
      <Terms xmlns="http://schemas.microsoft.com/office/infopath/2007/PartnerControls"/>
    </lcf76f155ced4ddcb4097134ff3c332f>
    <MigrationWizIdPermissionLevels xmlns="214a7c6a-9564-4936-9ed5-fe923a89753d" xsi:nil="true"/>
    <MigrationWizId xmlns="214a7c6a-9564-4936-9ed5-fe923a89753d" xsi:nil="true"/>
    <MigrationWizIdVersion xmlns="214a7c6a-9564-4936-9ed5-fe923a89753d" xsi:nil="true"/>
    <MigrationWizIdPermissions xmlns="214a7c6a-9564-4936-9ed5-fe923a89753d" xsi:nil="true"/>
    <lcf76f155ced4ddcb4097134ff3c332f0 xmlns="214a7c6a-9564-4936-9ed5-fe923a89753d" xsi:nil="true"/>
    <MigrationWizIdDocumentLibraryPermissions xmlns="214a7c6a-9564-4936-9ed5-fe923a89753d" xsi:nil="true"/>
    <MigrationWizIdSecurityGroups xmlns="214a7c6a-9564-4936-9ed5-fe923a89753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4CF2B26666BC48AA17601D935150B2" ma:contentTypeVersion="22" ma:contentTypeDescription="Crear nuevo documento." ma:contentTypeScope="" ma:versionID="3d04707efd40ebb5dc45a52e95bcdc66">
  <xsd:schema xmlns:xsd="http://www.w3.org/2001/XMLSchema" xmlns:xs="http://www.w3.org/2001/XMLSchema" xmlns:p="http://schemas.microsoft.com/office/2006/metadata/properties" xmlns:ns2="214a7c6a-9564-4936-9ed5-fe923a89753d" xmlns:ns3="7499b06c-faaa-497d-9c14-a156495a53bc" targetNamespace="http://schemas.microsoft.com/office/2006/metadata/properties" ma:root="true" ma:fieldsID="98c8e5897729e2a8f05be5788f9942d7" ns2:_="" ns3:_="">
    <xsd:import namespace="214a7c6a-9564-4936-9ed5-fe923a89753d"/>
    <xsd:import namespace="7499b06c-faaa-497d-9c14-a156495a53bc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a7c6a-9564-4936-9ed5-fe923a89753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Etiquetas de imagen" ma:readOnly="false" ma:fieldId="{5cf76f15-5ced-4ddc-b409-7134ff3c332f}" ma:taxonomyMulti="true" ma:sspId="8870de15-bcca-44b9-b7b5-b2794476c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9b06c-faaa-497d-9c14-a156495a53bc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8f93ce7f-0f45-45d5-8fa9-7ee52d872034}" ma:internalName="TaxCatchAll" ma:showField="CatchAllData" ma:web="7499b06c-faaa-497d-9c14-a156495a5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947FF3-7ECF-4CF5-A3BF-389C098E4770}">
  <ds:schemaRefs>
    <ds:schemaRef ds:uri="http://schemas.microsoft.com/office/2006/metadata/properties"/>
    <ds:schemaRef ds:uri="http://schemas.microsoft.com/office/infopath/2007/PartnerControls"/>
    <ds:schemaRef ds:uri="7499b06c-faaa-497d-9c14-a156495a53bc"/>
    <ds:schemaRef ds:uri="214a7c6a-9564-4936-9ed5-fe923a89753d"/>
  </ds:schemaRefs>
</ds:datastoreItem>
</file>

<file path=customXml/itemProps2.xml><?xml version="1.0" encoding="utf-8"?>
<ds:datastoreItem xmlns:ds="http://schemas.openxmlformats.org/officeDocument/2006/customXml" ds:itemID="{6969DB56-0344-4D38-B6D8-75D92DAEAA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584E23-4591-4769-A06C-5CF7F31D30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C3E978-11DC-4D72-8B84-0A3995123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a7c6a-9564-4936-9ed5-fe923a89753d"/>
    <ds:schemaRef ds:uri="7499b06c-faaa-497d-9c14-a156495a5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C:\Users\vmrufo\Downloads\MINSAIT_NP_ES_V2 (1).dotx</Template>
  <TotalTime>7</TotalTime>
  <Pages>3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Minsait</Company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Rufo, Virginia</dc:creator>
  <cp:keywords/>
  <cp:lastModifiedBy>Gaby Medina</cp:lastModifiedBy>
  <cp:revision>4</cp:revision>
  <cp:lastPrinted>2018-09-06T19:10:00Z</cp:lastPrinted>
  <dcterms:created xsi:type="dcterms:W3CDTF">2025-03-26T14:20:00Z</dcterms:created>
  <dcterms:modified xsi:type="dcterms:W3CDTF">2025-03-26T14:42:00Z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0x010100084CF2B26666BC48AA17601D935150B2</vt:lpwstr>
  </property>
  <property fmtid="{D5CDD505-2E9C-101B-9397-08002B2CF9AE}" pid="3" name="MediaServiceImageTags">
    <vt:lpwstr/>
  </property>
</Properties>
</file>